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27" w:rsidRPr="00E77555" w:rsidRDefault="00F96FB5" w:rsidP="00E77555">
      <w:pPr>
        <w:tabs>
          <w:tab w:val="left" w:pos="-1440"/>
          <w:tab w:val="left" w:pos="3060"/>
        </w:tabs>
        <w:jc w:val="both"/>
        <w:rPr>
          <w:rFonts w:ascii="Arial Narrow" w:hAnsi="Arial Narrow"/>
          <w:b/>
          <w:sz w:val="32"/>
        </w:rPr>
        <w:sectPr w:rsidR="00A06227" w:rsidRPr="00E77555" w:rsidSect="00E7755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576" w:right="1008" w:bottom="1440" w:left="1008" w:header="1296" w:footer="720" w:gutter="0"/>
          <w:cols w:num="2" w:space="720"/>
          <w:titlePg/>
          <w:docGrid w:linePitch="360"/>
        </w:sectPr>
      </w:pPr>
      <w:r>
        <w:rPr>
          <w:rFonts w:ascii="Arial Narrow" w:hAnsi="Arial Narrow"/>
          <w:b/>
          <w:sz w:val="32"/>
        </w:rPr>
        <w:tab/>
      </w:r>
    </w:p>
    <w:p w:rsidR="00F96FB5" w:rsidRPr="00241FED" w:rsidRDefault="00F96FB5" w:rsidP="0005778C">
      <w:pPr>
        <w:pStyle w:val="Default"/>
        <w:spacing w:before="120"/>
        <w:rPr>
          <w:rFonts w:asciiTheme="majorHAnsi" w:hAnsiTheme="majorHAnsi"/>
          <w:sz w:val="22"/>
          <w:szCs w:val="22"/>
        </w:rPr>
      </w:pPr>
      <w:r w:rsidRPr="00241FED">
        <w:rPr>
          <w:rFonts w:asciiTheme="majorHAnsi" w:hAnsiTheme="majorHAnsi"/>
          <w:b/>
          <w:bCs/>
          <w:sz w:val="22"/>
          <w:szCs w:val="22"/>
        </w:rPr>
        <w:lastRenderedPageBreak/>
        <w:t xml:space="preserve">Basic Leave Entitlement </w:t>
      </w:r>
    </w:p>
    <w:p w:rsidR="00F96FB5" w:rsidRPr="00E77555" w:rsidRDefault="00F96FB5" w:rsidP="0005778C">
      <w:pPr>
        <w:pStyle w:val="Default"/>
        <w:spacing w:before="120"/>
        <w:rPr>
          <w:rFonts w:asciiTheme="minorHAnsi" w:hAnsiTheme="minorHAnsi"/>
          <w:sz w:val="22"/>
          <w:szCs w:val="22"/>
        </w:rPr>
      </w:pPr>
      <w:r w:rsidRPr="00E77555">
        <w:rPr>
          <w:rFonts w:asciiTheme="minorHAnsi" w:hAnsiTheme="minorHAnsi"/>
          <w:sz w:val="22"/>
          <w:szCs w:val="22"/>
        </w:rPr>
        <w:t xml:space="preserve">FMLA requires covered employers to provide up to 12 weeks of unpaid, job-protected leave to eligible employees for the following reasons: </w:t>
      </w:r>
    </w:p>
    <w:p w:rsidR="00F96FB5" w:rsidRPr="00E77555" w:rsidRDefault="00F96FB5" w:rsidP="0005778C">
      <w:pPr>
        <w:pStyle w:val="Default"/>
        <w:numPr>
          <w:ilvl w:val="0"/>
          <w:numId w:val="2"/>
        </w:numPr>
        <w:ind w:left="360" w:hanging="360"/>
        <w:rPr>
          <w:rFonts w:asciiTheme="minorHAnsi" w:hAnsiTheme="minorHAnsi"/>
          <w:sz w:val="22"/>
          <w:szCs w:val="22"/>
        </w:rPr>
      </w:pPr>
      <w:r w:rsidRPr="00E77555">
        <w:rPr>
          <w:rFonts w:asciiTheme="minorHAnsi" w:hAnsiTheme="minorHAnsi"/>
          <w:sz w:val="22"/>
          <w:szCs w:val="22"/>
        </w:rPr>
        <w:t xml:space="preserve">• For incapacity due to pregnancy, prenatal medical care or child birth; </w:t>
      </w:r>
    </w:p>
    <w:p w:rsidR="00F96FB5" w:rsidRPr="00E77555" w:rsidRDefault="00F96FB5" w:rsidP="0005778C">
      <w:pPr>
        <w:pStyle w:val="Default"/>
        <w:numPr>
          <w:ilvl w:val="0"/>
          <w:numId w:val="2"/>
        </w:numPr>
        <w:ind w:left="360" w:hanging="360"/>
        <w:rPr>
          <w:rFonts w:asciiTheme="minorHAnsi" w:hAnsiTheme="minorHAnsi"/>
          <w:sz w:val="22"/>
          <w:szCs w:val="22"/>
        </w:rPr>
      </w:pPr>
      <w:r w:rsidRPr="00E77555">
        <w:rPr>
          <w:rFonts w:asciiTheme="minorHAnsi" w:hAnsiTheme="minorHAnsi"/>
          <w:sz w:val="22"/>
          <w:szCs w:val="22"/>
        </w:rPr>
        <w:t xml:space="preserve">• To care for the employee’s child after birth, or placement for adoption or foster care; </w:t>
      </w:r>
    </w:p>
    <w:p w:rsidR="00F96FB5" w:rsidRPr="00E77555" w:rsidRDefault="00F96FB5" w:rsidP="0005778C">
      <w:pPr>
        <w:pStyle w:val="Default"/>
        <w:numPr>
          <w:ilvl w:val="0"/>
          <w:numId w:val="2"/>
        </w:numPr>
        <w:ind w:left="360" w:hanging="360"/>
        <w:rPr>
          <w:rFonts w:asciiTheme="minorHAnsi" w:hAnsiTheme="minorHAnsi"/>
          <w:sz w:val="22"/>
          <w:szCs w:val="22"/>
        </w:rPr>
      </w:pPr>
      <w:r w:rsidRPr="00E77555">
        <w:rPr>
          <w:rFonts w:asciiTheme="minorHAnsi" w:hAnsiTheme="minorHAnsi"/>
          <w:sz w:val="22"/>
          <w:szCs w:val="22"/>
        </w:rPr>
        <w:t>• To care for the employee’s spouse, son or daughter, or parent, who has</w:t>
      </w:r>
      <w:r w:rsidR="00A06227" w:rsidRPr="00E77555">
        <w:rPr>
          <w:rFonts w:asciiTheme="minorHAnsi" w:hAnsiTheme="minorHAnsi"/>
          <w:sz w:val="22"/>
          <w:szCs w:val="22"/>
        </w:rPr>
        <w:t xml:space="preserve"> a serious health condition; </w:t>
      </w:r>
    </w:p>
    <w:p w:rsidR="00241FED" w:rsidRPr="00241FED" w:rsidRDefault="00F96FB5" w:rsidP="0005778C">
      <w:pPr>
        <w:pStyle w:val="Default"/>
        <w:numPr>
          <w:ilvl w:val="0"/>
          <w:numId w:val="2"/>
        </w:numPr>
        <w:ind w:left="360" w:hanging="360"/>
        <w:rPr>
          <w:rFonts w:asciiTheme="minorHAnsi" w:hAnsiTheme="minorHAnsi"/>
          <w:sz w:val="22"/>
          <w:szCs w:val="22"/>
        </w:rPr>
      </w:pPr>
      <w:r w:rsidRPr="00E77555">
        <w:rPr>
          <w:rFonts w:asciiTheme="minorHAnsi" w:hAnsiTheme="minorHAnsi"/>
          <w:sz w:val="22"/>
          <w:szCs w:val="22"/>
        </w:rPr>
        <w:t xml:space="preserve">• For a serious health condition that makes the employee unable to perform the employee’s job. </w:t>
      </w:r>
    </w:p>
    <w:p w:rsidR="00F96FB5" w:rsidRPr="0005778C" w:rsidRDefault="00F96FB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Military Family Leave Entitlements </w:t>
      </w:r>
    </w:p>
    <w:p w:rsidR="00F96FB5" w:rsidRPr="00E77555" w:rsidRDefault="00F96FB5" w:rsidP="0005778C">
      <w:pPr>
        <w:pStyle w:val="Default"/>
        <w:spacing w:before="120"/>
        <w:rPr>
          <w:rFonts w:asciiTheme="minorHAnsi" w:hAnsiTheme="minorHAnsi"/>
          <w:sz w:val="22"/>
          <w:szCs w:val="22"/>
        </w:rPr>
      </w:pPr>
      <w:r w:rsidRPr="00E77555">
        <w:rPr>
          <w:rFonts w:asciiTheme="minorHAnsi" w:hAnsiTheme="minorHAnsi"/>
          <w:sz w:val="22"/>
          <w:szCs w:val="22"/>
        </w:rPr>
        <w:t xml:space="preserve">Eligible employees with a spouse, son, daughter, or parent on active duty or call to active duty status in the National Guard or Reserves in support of a contingency operation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 </w:t>
      </w:r>
    </w:p>
    <w:p w:rsidR="00F96FB5" w:rsidRPr="00E77555" w:rsidRDefault="00F96FB5" w:rsidP="0005778C">
      <w:pPr>
        <w:pStyle w:val="Default"/>
        <w:spacing w:before="120"/>
        <w:rPr>
          <w:rFonts w:asciiTheme="minorHAnsi" w:hAnsiTheme="minorHAnsi"/>
          <w:sz w:val="22"/>
          <w:szCs w:val="22"/>
        </w:rPr>
      </w:pPr>
      <w:r w:rsidRPr="00E77555">
        <w:rPr>
          <w:rFonts w:asciiTheme="minorHAnsi" w:hAnsiTheme="minorHAnsi"/>
          <w:sz w:val="22"/>
          <w:szCs w:val="22"/>
        </w:rPr>
        <w:t>FMLA also includes a special leave entitlement that permits eligible employees to take up to 26 weeks of leave to care for a covered service</w:t>
      </w:r>
      <w:r w:rsidR="00A06227" w:rsidRPr="00E77555">
        <w:rPr>
          <w:rFonts w:asciiTheme="minorHAnsi" w:hAnsiTheme="minorHAnsi"/>
          <w:sz w:val="22"/>
          <w:szCs w:val="22"/>
        </w:rPr>
        <w:t xml:space="preserve"> </w:t>
      </w:r>
      <w:r w:rsidRPr="00E77555">
        <w:rPr>
          <w:rFonts w:asciiTheme="minorHAnsi" w:hAnsiTheme="minorHAnsi"/>
          <w:sz w:val="22"/>
          <w:szCs w:val="22"/>
        </w:rPr>
        <w:t>member during a single 12-month period. A covered service</w:t>
      </w:r>
      <w:r w:rsidR="00A06227" w:rsidRPr="00E77555">
        <w:rPr>
          <w:rFonts w:asciiTheme="minorHAnsi" w:hAnsiTheme="minorHAnsi"/>
          <w:sz w:val="22"/>
          <w:szCs w:val="22"/>
        </w:rPr>
        <w:t xml:space="preserve"> </w:t>
      </w:r>
      <w:r w:rsidRPr="00E77555">
        <w:rPr>
          <w:rFonts w:asciiTheme="minorHAnsi" w:hAnsiTheme="minorHAnsi"/>
          <w:sz w:val="22"/>
          <w:szCs w:val="22"/>
        </w:rPr>
        <w:t>member is a current member of the Armed Forces, including a member of the National Guard or Reserves, who has a serious injury or illness incurred in the line of duty on active duty that may render the service</w:t>
      </w:r>
      <w:r w:rsidR="00A06227" w:rsidRPr="00E77555">
        <w:rPr>
          <w:rFonts w:asciiTheme="minorHAnsi" w:hAnsiTheme="minorHAnsi"/>
          <w:sz w:val="22"/>
          <w:szCs w:val="22"/>
        </w:rPr>
        <w:t xml:space="preserve"> </w:t>
      </w:r>
      <w:r w:rsidRPr="00E77555">
        <w:rPr>
          <w:rFonts w:asciiTheme="minorHAnsi" w:hAnsiTheme="minorHAnsi"/>
          <w:sz w:val="22"/>
          <w:szCs w:val="22"/>
        </w:rPr>
        <w:t>member medically unfit to perform his or her duties for which the service</w:t>
      </w:r>
      <w:r w:rsidR="00A06227" w:rsidRPr="00E77555">
        <w:rPr>
          <w:rFonts w:asciiTheme="minorHAnsi" w:hAnsiTheme="minorHAnsi"/>
          <w:sz w:val="22"/>
          <w:szCs w:val="22"/>
        </w:rPr>
        <w:t xml:space="preserve"> </w:t>
      </w:r>
      <w:r w:rsidRPr="00E77555">
        <w:rPr>
          <w:rFonts w:asciiTheme="minorHAnsi" w:hAnsiTheme="minorHAnsi"/>
          <w:sz w:val="22"/>
          <w:szCs w:val="22"/>
        </w:rPr>
        <w:t xml:space="preserve">member is undergoing medical treatment, recuperation, or therapy; or is in outpatient status; or is on the temporary disability retired list. </w:t>
      </w:r>
    </w:p>
    <w:p w:rsidR="00A06227" w:rsidRPr="0005778C" w:rsidRDefault="00A06227"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Benefits and Protections </w:t>
      </w:r>
    </w:p>
    <w:p w:rsidR="00A06227" w:rsidRPr="00E77555" w:rsidRDefault="00A06227" w:rsidP="0005778C">
      <w:pPr>
        <w:pStyle w:val="Default"/>
        <w:spacing w:before="120"/>
        <w:rPr>
          <w:rFonts w:asciiTheme="minorHAnsi" w:hAnsiTheme="minorHAnsi"/>
          <w:sz w:val="22"/>
          <w:szCs w:val="22"/>
        </w:rPr>
      </w:pPr>
      <w:r w:rsidRPr="00E77555">
        <w:rPr>
          <w:rFonts w:asciiTheme="minorHAnsi" w:hAnsiTheme="minorHAnsi"/>
          <w:sz w:val="22"/>
          <w:szCs w:val="22"/>
        </w:rPr>
        <w:t xml:space="preserve">During FMLA leave, the employer must maintain the employee’s health coverage under any “group health plan” on the same terms as if the employee had continued to work. Upon return from FMLA leave, most employees must be restored to their original or equivalent positions with equivalent pay, benefits, and other employment terms. </w:t>
      </w:r>
    </w:p>
    <w:p w:rsidR="00A06227" w:rsidRPr="00E77555" w:rsidRDefault="00A06227" w:rsidP="0005778C">
      <w:pPr>
        <w:pStyle w:val="Default"/>
        <w:spacing w:before="120"/>
        <w:rPr>
          <w:rFonts w:asciiTheme="minorHAnsi" w:hAnsiTheme="minorHAnsi"/>
          <w:sz w:val="22"/>
          <w:szCs w:val="22"/>
        </w:rPr>
      </w:pPr>
      <w:r w:rsidRPr="00E77555">
        <w:rPr>
          <w:rFonts w:asciiTheme="minorHAnsi" w:hAnsiTheme="minorHAnsi"/>
          <w:sz w:val="22"/>
          <w:szCs w:val="22"/>
        </w:rPr>
        <w:t xml:space="preserve">Use of FMLA leave cannot result in the loss of any employment benefit that accrued prior to the start of an employee’s leave. </w:t>
      </w:r>
    </w:p>
    <w:p w:rsidR="0006229D" w:rsidRPr="0005778C" w:rsidRDefault="0006229D"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Eligibility Requirements </w:t>
      </w:r>
    </w:p>
    <w:p w:rsidR="0006229D" w:rsidRPr="00BD76BE" w:rsidRDefault="0006229D" w:rsidP="0005778C">
      <w:pPr>
        <w:pStyle w:val="Default"/>
        <w:spacing w:before="120"/>
        <w:rPr>
          <w:rFonts w:asciiTheme="minorHAnsi" w:hAnsiTheme="minorHAnsi"/>
          <w:color w:val="auto"/>
          <w:sz w:val="22"/>
          <w:szCs w:val="22"/>
        </w:rPr>
      </w:pPr>
      <w:r w:rsidRPr="00BD76BE">
        <w:rPr>
          <w:rFonts w:asciiTheme="minorHAnsi" w:hAnsiTheme="minorHAnsi"/>
          <w:color w:val="auto"/>
          <w:sz w:val="22"/>
          <w:szCs w:val="22"/>
        </w:rPr>
        <w:t xml:space="preserve">Per the </w:t>
      </w:r>
      <w:r w:rsidR="00C27FAF" w:rsidRPr="00BD76BE">
        <w:rPr>
          <w:rFonts w:asciiTheme="minorHAnsi" w:hAnsiTheme="minorHAnsi"/>
          <w:color w:val="auto"/>
          <w:sz w:val="22"/>
          <w:szCs w:val="22"/>
        </w:rPr>
        <w:t xml:space="preserve">Family and Medical Leave Act and the </w:t>
      </w:r>
      <w:r w:rsidRPr="00BD76BE">
        <w:rPr>
          <w:rFonts w:asciiTheme="minorHAnsi" w:hAnsiTheme="minorHAnsi"/>
          <w:color w:val="auto"/>
          <w:sz w:val="22"/>
          <w:szCs w:val="22"/>
        </w:rPr>
        <w:t xml:space="preserve">USM BOR Policy, </w:t>
      </w:r>
      <w:r w:rsidR="00800999" w:rsidRPr="00BD76BE">
        <w:rPr>
          <w:rFonts w:asciiTheme="minorHAnsi" w:hAnsiTheme="minorHAnsi"/>
          <w:color w:val="auto"/>
          <w:sz w:val="22"/>
          <w:szCs w:val="22"/>
        </w:rPr>
        <w:t xml:space="preserve">SU </w:t>
      </w:r>
      <w:r w:rsidRPr="00BD76BE">
        <w:rPr>
          <w:rFonts w:asciiTheme="minorHAnsi" w:hAnsiTheme="minorHAnsi"/>
          <w:color w:val="auto"/>
          <w:sz w:val="22"/>
          <w:szCs w:val="22"/>
        </w:rPr>
        <w:t xml:space="preserve">employees are </w:t>
      </w:r>
      <w:r w:rsidR="00825B2F" w:rsidRPr="00BD76BE">
        <w:rPr>
          <w:rFonts w:asciiTheme="minorHAnsi" w:hAnsiTheme="minorHAnsi"/>
          <w:color w:val="auto"/>
          <w:sz w:val="22"/>
          <w:szCs w:val="22"/>
        </w:rPr>
        <w:t xml:space="preserve">generally </w:t>
      </w:r>
      <w:r w:rsidRPr="00BD76BE">
        <w:rPr>
          <w:rFonts w:asciiTheme="minorHAnsi" w:hAnsiTheme="minorHAnsi"/>
          <w:color w:val="auto"/>
          <w:sz w:val="22"/>
          <w:szCs w:val="22"/>
        </w:rPr>
        <w:t xml:space="preserve">eligible if they have worked for at least </w:t>
      </w:r>
      <w:r w:rsidR="00C27FAF" w:rsidRPr="00BD76BE">
        <w:rPr>
          <w:rFonts w:asciiTheme="minorHAnsi" w:hAnsiTheme="minorHAnsi"/>
          <w:color w:val="auto"/>
          <w:sz w:val="22"/>
          <w:szCs w:val="22"/>
        </w:rPr>
        <w:t>one year</w:t>
      </w:r>
      <w:r w:rsidR="00E77555" w:rsidRPr="00BD76BE">
        <w:rPr>
          <w:rFonts w:asciiTheme="minorHAnsi" w:hAnsiTheme="minorHAnsi"/>
          <w:color w:val="auto"/>
          <w:sz w:val="22"/>
          <w:szCs w:val="22"/>
        </w:rPr>
        <w:t xml:space="preserve"> and</w:t>
      </w:r>
      <w:r w:rsidR="00C27FAF" w:rsidRPr="00BD76BE">
        <w:rPr>
          <w:rFonts w:asciiTheme="minorHAnsi" w:hAnsiTheme="minorHAnsi"/>
          <w:color w:val="auto"/>
          <w:sz w:val="22"/>
          <w:szCs w:val="22"/>
        </w:rPr>
        <w:t xml:space="preserve"> for </w:t>
      </w:r>
      <w:r w:rsidRPr="00BD76BE">
        <w:rPr>
          <w:rFonts w:asciiTheme="minorHAnsi" w:hAnsiTheme="minorHAnsi"/>
          <w:color w:val="auto"/>
          <w:sz w:val="22"/>
          <w:szCs w:val="22"/>
        </w:rPr>
        <w:t>1,040 hours during the twelve (12) month period</w:t>
      </w:r>
      <w:r w:rsidR="00800999" w:rsidRPr="00BD76BE">
        <w:rPr>
          <w:rFonts w:asciiTheme="minorHAnsi" w:hAnsiTheme="minorHAnsi"/>
          <w:color w:val="auto"/>
          <w:sz w:val="22"/>
          <w:szCs w:val="22"/>
        </w:rPr>
        <w:t xml:space="preserve"> </w:t>
      </w:r>
      <w:r w:rsidRPr="00BD76BE">
        <w:rPr>
          <w:rFonts w:asciiTheme="minorHAnsi" w:hAnsiTheme="minorHAnsi"/>
          <w:color w:val="auto"/>
          <w:sz w:val="22"/>
          <w:szCs w:val="22"/>
        </w:rPr>
        <w:t>immediately prior to the beginning date of the leave as a USM or</w:t>
      </w:r>
      <w:r w:rsidR="00800999" w:rsidRPr="00BD76BE">
        <w:rPr>
          <w:rFonts w:asciiTheme="minorHAnsi" w:hAnsiTheme="minorHAnsi"/>
          <w:color w:val="auto"/>
          <w:sz w:val="22"/>
          <w:szCs w:val="22"/>
        </w:rPr>
        <w:t xml:space="preserve"> </w:t>
      </w:r>
      <w:r w:rsidRPr="00BD76BE">
        <w:rPr>
          <w:rFonts w:asciiTheme="minorHAnsi" w:hAnsiTheme="minorHAnsi"/>
          <w:color w:val="auto"/>
          <w:sz w:val="22"/>
          <w:szCs w:val="22"/>
        </w:rPr>
        <w:t>State of Maryland employee</w:t>
      </w:r>
      <w:r w:rsidR="00C27FAF" w:rsidRPr="00BD76BE">
        <w:rPr>
          <w:rFonts w:asciiTheme="minorHAnsi" w:hAnsiTheme="minorHAnsi"/>
          <w:color w:val="auto"/>
          <w:sz w:val="22"/>
          <w:szCs w:val="22"/>
        </w:rPr>
        <w:t>, and if at least 50 employ</w:t>
      </w:r>
      <w:r w:rsidR="00106795" w:rsidRPr="00BD76BE">
        <w:rPr>
          <w:rFonts w:asciiTheme="minorHAnsi" w:hAnsiTheme="minorHAnsi"/>
          <w:color w:val="auto"/>
          <w:sz w:val="22"/>
          <w:szCs w:val="22"/>
        </w:rPr>
        <w:t>ees are employed at the employer</w:t>
      </w:r>
      <w:r w:rsidR="00C27FAF" w:rsidRPr="00BD76BE">
        <w:rPr>
          <w:rFonts w:asciiTheme="minorHAnsi" w:hAnsiTheme="minorHAnsi"/>
          <w:color w:val="auto"/>
          <w:sz w:val="22"/>
          <w:szCs w:val="22"/>
        </w:rPr>
        <w:t>’s facility within 75 miles</w:t>
      </w:r>
      <w:r w:rsidRPr="00BD76BE">
        <w:rPr>
          <w:rFonts w:asciiTheme="minorHAnsi" w:hAnsiTheme="minorHAnsi"/>
          <w:color w:val="auto"/>
          <w:sz w:val="22"/>
          <w:szCs w:val="22"/>
        </w:rPr>
        <w:t xml:space="preserve">. </w:t>
      </w:r>
      <w:r w:rsidR="00241FED" w:rsidRPr="00BD76BE">
        <w:rPr>
          <w:rFonts w:asciiTheme="minorHAnsi" w:hAnsiTheme="minorHAnsi"/>
          <w:color w:val="auto"/>
          <w:sz w:val="22"/>
          <w:szCs w:val="22"/>
        </w:rPr>
        <w:t xml:space="preserve"> </w:t>
      </w:r>
    </w:p>
    <w:p w:rsidR="00241FED" w:rsidRPr="00BD76BE" w:rsidRDefault="00241FED" w:rsidP="0005778C">
      <w:pPr>
        <w:pStyle w:val="Default"/>
        <w:spacing w:before="120"/>
        <w:rPr>
          <w:rFonts w:asciiTheme="minorHAnsi" w:hAnsiTheme="minorHAnsi"/>
          <w:color w:val="auto"/>
          <w:sz w:val="22"/>
          <w:szCs w:val="22"/>
        </w:rPr>
      </w:pPr>
      <w:r w:rsidRPr="00BD76BE">
        <w:rPr>
          <w:rFonts w:asciiTheme="minorHAnsi" w:hAnsiTheme="minorHAnsi"/>
          <w:color w:val="auto"/>
          <w:sz w:val="22"/>
          <w:szCs w:val="22"/>
        </w:rPr>
        <w:t>The 12-month period in which up to 12 weeks of FMLA can be taken is calculated as a “rolling” 12-month period measured backward from the date of any FMLA usage.</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Definition of Serious Health Condition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or other daily activities.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lastRenderedPageBreak/>
        <w:t>Subject to certain conditions, the continuing treatment requirement may be met by a period of incapa</w:t>
      </w:r>
      <w:r w:rsidR="00E77555">
        <w:rPr>
          <w:rFonts w:asciiTheme="minorHAnsi" w:hAnsiTheme="minorHAnsi"/>
          <w:sz w:val="22"/>
          <w:szCs w:val="22"/>
        </w:rPr>
        <w:t>city of more than three</w:t>
      </w:r>
      <w:r w:rsidRPr="00E77555">
        <w:rPr>
          <w:rFonts w:asciiTheme="minorHAnsi" w:hAnsiTheme="minorHAnsi"/>
          <w:sz w:val="22"/>
          <w:szCs w:val="22"/>
        </w:rPr>
        <w:t xml:space="preserve"> consecutive calendar days combined with at least two visits to a health care provider or one visit and a regimen of continuing treatment, or incapacity due to pregnancy, or incapacity due to a chronic condition. Other conditions may meet the definition of continuing treatment. </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Use of Leave </w:t>
      </w:r>
    </w:p>
    <w:p w:rsidR="0010679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An employee does not need to use this leave entitlement in one block. Leave can be taken intermittently or on a reduced leave schedule when medically necessary. Employees must make reasonable efforts to schedule leave for planned medical treatment so as not to unduly disrupt the employer’s operations. Leave due to qualifying exigencies may also be taken on an intermittent basis. </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Substitution of Paid Leave for Unpaid Leave </w:t>
      </w:r>
    </w:p>
    <w:p w:rsidR="00106795" w:rsidRPr="00BD76BE" w:rsidRDefault="00106795" w:rsidP="0005778C">
      <w:pPr>
        <w:pStyle w:val="Default"/>
        <w:spacing w:before="120"/>
        <w:rPr>
          <w:rFonts w:asciiTheme="minorHAnsi" w:hAnsiTheme="minorHAnsi"/>
          <w:color w:val="auto"/>
          <w:sz w:val="22"/>
          <w:szCs w:val="22"/>
        </w:rPr>
      </w:pPr>
      <w:r w:rsidRPr="00BD76BE">
        <w:rPr>
          <w:rFonts w:asciiTheme="minorHAnsi" w:hAnsiTheme="minorHAnsi"/>
          <w:color w:val="auto"/>
          <w:sz w:val="22"/>
          <w:szCs w:val="22"/>
        </w:rPr>
        <w:t>Employees will be required to use accrued paid leave while taking FMLA leave</w:t>
      </w:r>
      <w:r w:rsidR="005B08CD" w:rsidRPr="00BD76BE">
        <w:rPr>
          <w:rFonts w:asciiTheme="minorHAnsi" w:hAnsiTheme="minorHAnsi"/>
          <w:color w:val="auto"/>
          <w:sz w:val="22"/>
          <w:szCs w:val="22"/>
        </w:rPr>
        <w:t xml:space="preserve"> and </w:t>
      </w:r>
      <w:r w:rsidRPr="00BD76BE">
        <w:rPr>
          <w:rFonts w:asciiTheme="minorHAnsi" w:hAnsiTheme="minorHAnsi"/>
          <w:color w:val="auto"/>
          <w:sz w:val="22"/>
          <w:szCs w:val="22"/>
        </w:rPr>
        <w:t xml:space="preserve">comply with the employer’s normal paid leave policies. </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Employee Responsibilities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Employees must provide 30 days advance notice of the need to take FMLA leave when the need is foreseeable. When 30 days notice is not possible, the employee must provide notice as soon as practicable and generally must comply with an employer’s normal call-in procedures.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Employees must provide sufficient information for the employer to determine if the leave may qualify for FMLA protection and the anticipated timing and duration of the leave. Sufficient information may include that the employee is unable to perform job </w:t>
      </w:r>
      <w:proofErr w:type="gramStart"/>
      <w:r w:rsidRPr="00E77555">
        <w:rPr>
          <w:rFonts w:asciiTheme="minorHAnsi" w:hAnsiTheme="minorHAnsi"/>
          <w:sz w:val="22"/>
          <w:szCs w:val="22"/>
        </w:rPr>
        <w:t>functions,</w:t>
      </w:r>
      <w:proofErr w:type="gramEnd"/>
      <w:r w:rsidRPr="00E77555">
        <w:rPr>
          <w:rFonts w:asciiTheme="minorHAnsi" w:hAnsiTheme="minorHAnsi"/>
          <w:sz w:val="22"/>
          <w:szCs w:val="22"/>
        </w:rPr>
        <w:t xml:space="preserve"> the family member is unable to perform daily activities, the need for hospitalization or continuing treatment by a health care provider, or circumstances supporting the need for military family leave. </w:t>
      </w:r>
      <w:r w:rsidR="00E77555">
        <w:rPr>
          <w:rFonts w:asciiTheme="minorHAnsi" w:hAnsiTheme="minorHAnsi"/>
          <w:sz w:val="22"/>
          <w:szCs w:val="22"/>
        </w:rPr>
        <w:t xml:space="preserve"> E</w:t>
      </w:r>
      <w:r w:rsidRPr="00E77555">
        <w:rPr>
          <w:rFonts w:asciiTheme="minorHAnsi" w:hAnsiTheme="minorHAnsi"/>
          <w:sz w:val="22"/>
          <w:szCs w:val="22"/>
        </w:rPr>
        <w:t xml:space="preserve">mployees also must inform the employer if the requested leave is for a reason for which FMLA leave was previously taken or certified. Employees also may be required to provide a certification and periodic recertification supporting the need for leave. </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Employer Responsibilities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Covered employers must inform employees requesting leave whether they are eligible under FMLA. If they are, the notice must specify any additional information required as well as the employees’ rights and responsibilities. If they are not eligible, the employer must provide a reason for the ineligibility.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Covered employers must inform employees if leave will be designated as FMLA-protected and the amount of leave counted against the employee’s leave entitlement. If the employer determines that the leave is not FMLA-protected, the employer must notify the employee. </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Unlawful Acts by Employers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FMLA makes it unlawful for any employer to: </w:t>
      </w:r>
    </w:p>
    <w:p w:rsidR="00106795" w:rsidRPr="00E77555" w:rsidRDefault="00106795" w:rsidP="0005778C">
      <w:pPr>
        <w:pStyle w:val="Default"/>
        <w:rPr>
          <w:rFonts w:asciiTheme="minorHAnsi" w:hAnsiTheme="minorHAnsi"/>
          <w:sz w:val="22"/>
          <w:szCs w:val="22"/>
        </w:rPr>
      </w:pPr>
      <w:r w:rsidRPr="00E77555">
        <w:rPr>
          <w:rFonts w:asciiTheme="minorHAnsi" w:hAnsiTheme="minorHAnsi"/>
          <w:sz w:val="22"/>
          <w:szCs w:val="22"/>
        </w:rPr>
        <w:t xml:space="preserve">• Interfere with, restrain, or deny the exercise of any right provided under FMLA; </w:t>
      </w:r>
    </w:p>
    <w:p w:rsidR="00106795" w:rsidRPr="00E77555" w:rsidRDefault="00106795" w:rsidP="0005778C">
      <w:pPr>
        <w:pStyle w:val="Default"/>
        <w:ind w:left="144" w:hanging="144"/>
        <w:rPr>
          <w:rFonts w:asciiTheme="minorHAnsi" w:hAnsiTheme="minorHAnsi"/>
          <w:sz w:val="22"/>
          <w:szCs w:val="22"/>
        </w:rPr>
      </w:pPr>
      <w:r w:rsidRPr="00E77555">
        <w:rPr>
          <w:rFonts w:asciiTheme="minorHAnsi" w:hAnsiTheme="minorHAnsi"/>
          <w:sz w:val="22"/>
          <w:szCs w:val="22"/>
        </w:rPr>
        <w:t xml:space="preserve">• Discharge or discriminate against any person for opposing any practice made unlawful by FMLA or for involvement in any proceeding under or relating to FMLA. </w:t>
      </w:r>
    </w:p>
    <w:p w:rsidR="00106795" w:rsidRPr="0005778C" w:rsidRDefault="00106795" w:rsidP="0005778C">
      <w:pPr>
        <w:pStyle w:val="Default"/>
        <w:spacing w:before="120"/>
        <w:rPr>
          <w:rFonts w:asciiTheme="majorHAnsi" w:hAnsiTheme="majorHAnsi"/>
          <w:b/>
          <w:bCs/>
          <w:sz w:val="22"/>
          <w:szCs w:val="22"/>
        </w:rPr>
      </w:pPr>
      <w:r w:rsidRPr="0005778C">
        <w:rPr>
          <w:rFonts w:asciiTheme="majorHAnsi" w:hAnsiTheme="majorHAnsi"/>
          <w:b/>
          <w:bCs/>
          <w:sz w:val="22"/>
          <w:szCs w:val="22"/>
        </w:rPr>
        <w:t xml:space="preserve">Enforcement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An employee may file a complaint with the U.S. Department of Labor or may bring a private lawsuit against an employer. </w:t>
      </w:r>
    </w:p>
    <w:p w:rsidR="00106795" w:rsidRPr="00E77555" w:rsidRDefault="00106795" w:rsidP="0005778C">
      <w:pPr>
        <w:pStyle w:val="Default"/>
        <w:spacing w:before="120"/>
        <w:rPr>
          <w:rFonts w:asciiTheme="minorHAnsi" w:hAnsiTheme="minorHAnsi"/>
          <w:sz w:val="22"/>
          <w:szCs w:val="22"/>
        </w:rPr>
      </w:pPr>
      <w:r w:rsidRPr="00E77555">
        <w:rPr>
          <w:rFonts w:asciiTheme="minorHAnsi" w:hAnsiTheme="minorHAnsi"/>
          <w:sz w:val="22"/>
          <w:szCs w:val="22"/>
        </w:rPr>
        <w:t xml:space="preserve">FMLA does not affect any Federal or State law prohibiting discrimination, or supersede any State or local law or collective bargaining agreement which provides greater family or medical leave rights. </w:t>
      </w:r>
    </w:p>
    <w:p w:rsidR="00106795" w:rsidRDefault="00106795" w:rsidP="003F3B1F">
      <w:pPr>
        <w:tabs>
          <w:tab w:val="left" w:pos="-1440"/>
        </w:tabs>
        <w:jc w:val="both"/>
        <w:rPr>
          <w:rFonts w:ascii="Arial Narrow" w:hAnsi="Arial Narrow"/>
          <w:b/>
          <w:sz w:val="32"/>
        </w:rPr>
      </w:pPr>
    </w:p>
    <w:p w:rsidR="00106795" w:rsidRDefault="00106795" w:rsidP="003F3B1F">
      <w:pPr>
        <w:tabs>
          <w:tab w:val="left" w:pos="-1440"/>
        </w:tabs>
        <w:jc w:val="both"/>
        <w:rPr>
          <w:rFonts w:ascii="Arial Narrow" w:hAnsi="Arial Narrow"/>
          <w:b/>
          <w:sz w:val="32"/>
        </w:rPr>
      </w:pPr>
    </w:p>
    <w:sectPr w:rsidR="00106795" w:rsidSect="00E77555">
      <w:type w:val="continuous"/>
      <w:pgSz w:w="12240" w:h="15840"/>
      <w:pgMar w:top="1440" w:right="720"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ED" w:rsidRDefault="00241FED" w:rsidP="00A06227">
      <w:r>
        <w:separator/>
      </w:r>
    </w:p>
  </w:endnote>
  <w:endnote w:type="continuationSeparator" w:id="1">
    <w:p w:rsidR="00241FED" w:rsidRDefault="00241FED" w:rsidP="00A062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1F" w:rsidRDefault="009C7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1F" w:rsidRDefault="009C731F">
    <w:pPr>
      <w:pStyle w:val="Footer"/>
    </w:pPr>
    <w:r>
      <w:t xml:space="preserve">        </w:t>
    </w:r>
    <w:r>
      <w:t>January 2009</w:t>
    </w:r>
  </w:p>
  <w:p w:rsidR="009C731F" w:rsidRDefault="009C7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1F" w:rsidRDefault="009C731F" w:rsidP="009C731F">
    <w:pPr>
      <w:pStyle w:val="Footer"/>
      <w:jc w:val="both"/>
    </w:pPr>
    <w:r>
      <w:t>January 2009</w:t>
    </w:r>
  </w:p>
  <w:p w:rsidR="009C731F" w:rsidRDefault="009C7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ED" w:rsidRDefault="00241FED" w:rsidP="00A06227">
      <w:r>
        <w:separator/>
      </w:r>
    </w:p>
  </w:footnote>
  <w:footnote w:type="continuationSeparator" w:id="1">
    <w:p w:rsidR="00241FED" w:rsidRDefault="00241FED" w:rsidP="00A06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31F" w:rsidRDefault="009C7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ED" w:rsidRDefault="00241FED">
    <w:pPr>
      <w:pStyle w:val="Header"/>
    </w:pPr>
  </w:p>
  <w:p w:rsidR="00241FED" w:rsidRDefault="00241F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FED" w:rsidRDefault="00925091" w:rsidP="00A062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right"/>
      <w:rPr>
        <w:sz w:val="16"/>
        <w:szCs w:val="16"/>
      </w:rPr>
    </w:pPr>
    <w:r w:rsidRPr="00925091">
      <w:rPr>
        <w:noProof/>
        <w:sz w:val="16"/>
        <w:szCs w:val="16"/>
      </w:rPr>
      <w:drawing>
        <wp:anchor distT="0" distB="0" distL="0" distR="0" simplePos="0" relativeHeight="251667456" behindDoc="0" locked="0" layoutInCell="1" allowOverlap="0">
          <wp:simplePos x="0" y="0"/>
          <wp:positionH relativeFrom="column">
            <wp:posOffset>979170</wp:posOffset>
          </wp:positionH>
          <wp:positionV relativeFrom="line">
            <wp:posOffset>-499110</wp:posOffset>
          </wp:positionV>
          <wp:extent cx="695325" cy="676275"/>
          <wp:effectExtent l="19050" t="0" r="9525" b="0"/>
          <wp:wrapNone/>
          <wp:docPr id="2" name="Picture 2" descr="http://www.usmd.edu/usm/adminfinance/hr/umspp/hrseal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md.edu/usm/adminfinance/hr/umspp/hrsealg2.jpg"/>
                  <pic:cNvPicPr>
                    <a:picLocks noChangeAspect="1" noChangeArrowheads="1"/>
                  </pic:cNvPicPr>
                </pic:nvPicPr>
                <pic:blipFill>
                  <a:blip r:embed="rId1"/>
                  <a:srcRect/>
                  <a:stretch>
                    <a:fillRect/>
                  </a:stretch>
                </pic:blipFill>
                <pic:spPr bwMode="auto">
                  <a:xfrm>
                    <a:off x="0" y="0"/>
                    <a:ext cx="695325" cy="676275"/>
                  </a:xfrm>
                  <a:prstGeom prst="rect">
                    <a:avLst/>
                  </a:prstGeom>
                  <a:noFill/>
                  <a:ln w="9525">
                    <a:noFill/>
                    <a:miter lim="800000"/>
                    <a:headEnd/>
                    <a:tailEnd/>
                  </a:ln>
                </pic:spPr>
              </pic:pic>
            </a:graphicData>
          </a:graphic>
        </wp:anchor>
      </w:drawing>
    </w:r>
    <w:r w:rsidR="00241FED">
      <w:rPr>
        <w:noProof/>
        <w:sz w:val="16"/>
        <w:szCs w:val="16"/>
      </w:rPr>
      <w:drawing>
        <wp:anchor distT="0" distB="0" distL="114300" distR="114300" simplePos="0" relativeHeight="251663360" behindDoc="0" locked="0" layoutInCell="1" allowOverlap="1">
          <wp:simplePos x="0" y="0"/>
          <wp:positionH relativeFrom="column">
            <wp:posOffset>4789170</wp:posOffset>
          </wp:positionH>
          <wp:positionV relativeFrom="paragraph">
            <wp:posOffset>-499110</wp:posOffset>
          </wp:positionV>
          <wp:extent cx="1047750" cy="476250"/>
          <wp:effectExtent l="1905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47750" cy="476250"/>
                  </a:xfrm>
                  <a:prstGeom prst="rect">
                    <a:avLst/>
                  </a:prstGeom>
                  <a:noFill/>
                  <a:ln w="9525">
                    <a:noFill/>
                    <a:miter lim="800000"/>
                    <a:headEnd/>
                    <a:tailEnd/>
                  </a:ln>
                </pic:spPr>
              </pic:pic>
            </a:graphicData>
          </a:graphic>
        </wp:anchor>
      </w:drawing>
    </w:r>
    <w:r w:rsidR="00241FED">
      <w:rPr>
        <w:noProof/>
        <w:sz w:val="16"/>
        <w:szCs w:val="16"/>
      </w:rPr>
      <w:drawing>
        <wp:anchor distT="0" distB="0" distL="114300" distR="114300" simplePos="0" relativeHeight="251665408" behindDoc="0" locked="0" layoutInCell="1" allowOverlap="1">
          <wp:simplePos x="0" y="0"/>
          <wp:positionH relativeFrom="column">
            <wp:posOffset>5894070</wp:posOffset>
          </wp:positionH>
          <wp:positionV relativeFrom="paragraph">
            <wp:posOffset>-622935</wp:posOffset>
          </wp:positionV>
          <wp:extent cx="714375" cy="704850"/>
          <wp:effectExtent l="19050" t="0" r="9525"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714375" cy="704850"/>
                  </a:xfrm>
                  <a:prstGeom prst="rect">
                    <a:avLst/>
                  </a:prstGeom>
                  <a:noFill/>
                  <a:ln w="9525">
                    <a:noFill/>
                    <a:miter lim="800000"/>
                    <a:headEnd/>
                    <a:tailEnd/>
                  </a:ln>
                </pic:spPr>
              </pic:pic>
            </a:graphicData>
          </a:graphic>
        </wp:anchor>
      </w:drawing>
    </w:r>
    <w:r w:rsidR="00241FED">
      <w:rPr>
        <w:noProof/>
        <w:sz w:val="16"/>
        <w:szCs w:val="16"/>
      </w:rPr>
      <w:drawing>
        <wp:anchor distT="0" distB="0" distL="114300" distR="114300" simplePos="0" relativeHeight="251659264" behindDoc="0" locked="0" layoutInCell="1" allowOverlap="1">
          <wp:simplePos x="0" y="0"/>
          <wp:positionH relativeFrom="column">
            <wp:posOffset>-30480</wp:posOffset>
          </wp:positionH>
          <wp:positionV relativeFrom="paragraph">
            <wp:posOffset>-565785</wp:posOffset>
          </wp:positionV>
          <wp:extent cx="819150" cy="971550"/>
          <wp:effectExtent l="19050" t="0" r="0" b="0"/>
          <wp:wrapNone/>
          <wp:docPr id="8" name="Picture 3" descr="vert_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t_sulogo"/>
                  <pic:cNvPicPr>
                    <a:picLocks noChangeAspect="1" noChangeArrowheads="1"/>
                  </pic:cNvPicPr>
                </pic:nvPicPr>
                <pic:blipFill>
                  <a:blip r:embed="rId4"/>
                  <a:srcRect/>
                  <a:stretch>
                    <a:fillRect/>
                  </a:stretch>
                </pic:blipFill>
                <pic:spPr bwMode="auto">
                  <a:xfrm>
                    <a:off x="0" y="0"/>
                    <a:ext cx="819150" cy="971550"/>
                  </a:xfrm>
                  <a:prstGeom prst="rect">
                    <a:avLst/>
                  </a:prstGeom>
                  <a:noFill/>
                </pic:spPr>
              </pic:pic>
            </a:graphicData>
          </a:graphic>
        </wp:anchor>
      </w:drawing>
    </w:r>
    <w:r w:rsidR="00241FED">
      <w:rPr>
        <w:sz w:val="16"/>
        <w:szCs w:val="16"/>
      </w:rPr>
      <w:t>U.S. Department of Labor | Employment Standards Administration | Wage a</w:t>
    </w:r>
    <w:r w:rsidR="00241FED">
      <w:rPr>
        <w:noProof/>
        <w:sz w:val="16"/>
        <w:szCs w:val="16"/>
      </w:rPr>
      <w:t>nd</w:t>
    </w:r>
    <w:r w:rsidR="00241FED">
      <w:rPr>
        <w:sz w:val="16"/>
        <w:szCs w:val="16"/>
      </w:rPr>
      <w:t xml:space="preserve"> Hour Division</w:t>
    </w:r>
  </w:p>
  <w:p w:rsidR="00241FED" w:rsidRPr="001D5A6D" w:rsidRDefault="00241FED" w:rsidP="00A06227">
    <w:pPr>
      <w:pStyle w:val="Default"/>
      <w:spacing w:before="60"/>
      <w:jc w:val="center"/>
      <w:rPr>
        <w:rFonts w:asciiTheme="majorHAnsi" w:hAnsiTheme="majorHAnsi"/>
        <w:b/>
        <w:bCs/>
        <w:sz w:val="16"/>
        <w:szCs w:val="16"/>
      </w:rPr>
    </w:pPr>
  </w:p>
  <w:p w:rsidR="00241FED" w:rsidRPr="001D5A6D" w:rsidRDefault="00BD76BE" w:rsidP="00A06227">
    <w:pPr>
      <w:pStyle w:val="Default"/>
      <w:spacing w:before="60"/>
      <w:jc w:val="center"/>
      <w:rPr>
        <w:rFonts w:asciiTheme="majorHAnsi" w:hAnsiTheme="majorHAnsi"/>
      </w:rPr>
    </w:pPr>
    <w:r>
      <w:rPr>
        <w:rFonts w:asciiTheme="majorHAnsi" w:hAnsiTheme="majorHAnsi"/>
        <w:b/>
        <w:bCs/>
      </w:rPr>
      <w:t xml:space="preserve">EMPLOYEE </w:t>
    </w:r>
    <w:r w:rsidR="00241FED" w:rsidRPr="001D5A6D">
      <w:rPr>
        <w:rFonts w:asciiTheme="majorHAnsi" w:hAnsiTheme="majorHAnsi"/>
        <w:b/>
        <w:bCs/>
      </w:rPr>
      <w:t xml:space="preserve">RIGHTS AND RESPONSIBILITIES </w:t>
    </w:r>
  </w:p>
  <w:p w:rsidR="00241FED" w:rsidRPr="001D5A6D" w:rsidRDefault="00241FED" w:rsidP="00E77555">
    <w:pPr>
      <w:pStyle w:val="Default"/>
      <w:ind w:left="-180"/>
      <w:jc w:val="center"/>
      <w:rPr>
        <w:rFonts w:asciiTheme="majorHAnsi" w:hAnsiTheme="majorHAnsi"/>
      </w:rPr>
    </w:pPr>
    <w:r w:rsidRPr="001D5A6D">
      <w:rPr>
        <w:rFonts w:asciiTheme="majorHAnsi" w:hAnsiTheme="majorHAnsi"/>
      </w:rPr>
      <w:t>UNDER THE FAMILY AND MEDICAL LEAVE ACT of 1993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16B1FD"/>
    <w:multiLevelType w:val="hybridMultilevel"/>
    <w:tmpl w:val="62CE06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CF1048A"/>
    <w:multiLevelType w:val="hybridMultilevel"/>
    <w:tmpl w:val="EC667F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5B10687"/>
    <w:multiLevelType w:val="hybridMultilevel"/>
    <w:tmpl w:val="6DC6A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3F3B1F"/>
    <w:rsid w:val="0005778C"/>
    <w:rsid w:val="0006229D"/>
    <w:rsid w:val="00106795"/>
    <w:rsid w:val="0011137B"/>
    <w:rsid w:val="00131636"/>
    <w:rsid w:val="001777E0"/>
    <w:rsid w:val="001D5A6D"/>
    <w:rsid w:val="00211E0A"/>
    <w:rsid w:val="00241FED"/>
    <w:rsid w:val="002B3A07"/>
    <w:rsid w:val="00307EBA"/>
    <w:rsid w:val="003C4772"/>
    <w:rsid w:val="003E5CC6"/>
    <w:rsid w:val="003F3B1F"/>
    <w:rsid w:val="004476BA"/>
    <w:rsid w:val="004530C1"/>
    <w:rsid w:val="00464929"/>
    <w:rsid w:val="004E7D77"/>
    <w:rsid w:val="005745C7"/>
    <w:rsid w:val="005B08CD"/>
    <w:rsid w:val="00663C51"/>
    <w:rsid w:val="006D224E"/>
    <w:rsid w:val="00800999"/>
    <w:rsid w:val="00825B2F"/>
    <w:rsid w:val="00925091"/>
    <w:rsid w:val="009C731F"/>
    <w:rsid w:val="00A06227"/>
    <w:rsid w:val="00A1627F"/>
    <w:rsid w:val="00A66536"/>
    <w:rsid w:val="00BD76BE"/>
    <w:rsid w:val="00C27FAF"/>
    <w:rsid w:val="00E30EAC"/>
    <w:rsid w:val="00E77555"/>
    <w:rsid w:val="00F9055A"/>
    <w:rsid w:val="00F96FB5"/>
    <w:rsid w:val="00FA5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1F"/>
    <w:pPr>
      <w:spacing w:after="0" w:line="240" w:lineRule="auto"/>
    </w:pPr>
    <w:rPr>
      <w:rFonts w:ascii="Times New Roman" w:eastAsia="Times New Roman" w:hAnsi="Times New Roman"/>
      <w:sz w:val="20"/>
      <w:szCs w:val="20"/>
      <w:lang w:bidi="ar-SA"/>
    </w:rPr>
  </w:style>
  <w:style w:type="paragraph" w:styleId="Heading1">
    <w:name w:val="heading 1"/>
    <w:basedOn w:val="Normal"/>
    <w:next w:val="Normal"/>
    <w:link w:val="Heading1Char"/>
    <w:uiPriority w:val="9"/>
    <w:qFormat/>
    <w:rsid w:val="00307E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E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E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E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E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E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EBA"/>
    <w:pPr>
      <w:spacing w:before="240" w:after="60"/>
      <w:outlineLvl w:val="6"/>
    </w:pPr>
  </w:style>
  <w:style w:type="paragraph" w:styleId="Heading8">
    <w:name w:val="heading 8"/>
    <w:basedOn w:val="Normal"/>
    <w:next w:val="Normal"/>
    <w:link w:val="Heading8Char"/>
    <w:uiPriority w:val="9"/>
    <w:semiHidden/>
    <w:unhideWhenUsed/>
    <w:qFormat/>
    <w:rsid w:val="00307EBA"/>
    <w:pPr>
      <w:spacing w:before="240" w:after="60"/>
      <w:outlineLvl w:val="7"/>
    </w:pPr>
    <w:rPr>
      <w:i/>
      <w:iCs/>
    </w:rPr>
  </w:style>
  <w:style w:type="paragraph" w:styleId="Heading9">
    <w:name w:val="heading 9"/>
    <w:basedOn w:val="Normal"/>
    <w:next w:val="Normal"/>
    <w:link w:val="Heading9Char"/>
    <w:uiPriority w:val="9"/>
    <w:semiHidden/>
    <w:unhideWhenUsed/>
    <w:qFormat/>
    <w:rsid w:val="00307E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E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E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07EBA"/>
    <w:rPr>
      <w:b/>
      <w:bCs/>
      <w:sz w:val="28"/>
      <w:szCs w:val="28"/>
    </w:rPr>
  </w:style>
  <w:style w:type="character" w:customStyle="1" w:styleId="Heading5Char">
    <w:name w:val="Heading 5 Char"/>
    <w:basedOn w:val="DefaultParagraphFont"/>
    <w:link w:val="Heading5"/>
    <w:uiPriority w:val="9"/>
    <w:semiHidden/>
    <w:rsid w:val="00307EBA"/>
    <w:rPr>
      <w:b/>
      <w:bCs/>
      <w:i/>
      <w:iCs/>
      <w:sz w:val="26"/>
      <w:szCs w:val="26"/>
    </w:rPr>
  </w:style>
  <w:style w:type="character" w:customStyle="1" w:styleId="Heading6Char">
    <w:name w:val="Heading 6 Char"/>
    <w:basedOn w:val="DefaultParagraphFont"/>
    <w:link w:val="Heading6"/>
    <w:uiPriority w:val="9"/>
    <w:semiHidden/>
    <w:rsid w:val="00307EBA"/>
    <w:rPr>
      <w:b/>
      <w:bCs/>
    </w:rPr>
  </w:style>
  <w:style w:type="character" w:customStyle="1" w:styleId="Heading7Char">
    <w:name w:val="Heading 7 Char"/>
    <w:basedOn w:val="DefaultParagraphFont"/>
    <w:link w:val="Heading7"/>
    <w:uiPriority w:val="9"/>
    <w:semiHidden/>
    <w:rsid w:val="00307EBA"/>
    <w:rPr>
      <w:sz w:val="24"/>
      <w:szCs w:val="24"/>
    </w:rPr>
  </w:style>
  <w:style w:type="character" w:customStyle="1" w:styleId="Heading8Char">
    <w:name w:val="Heading 8 Char"/>
    <w:basedOn w:val="DefaultParagraphFont"/>
    <w:link w:val="Heading8"/>
    <w:uiPriority w:val="9"/>
    <w:semiHidden/>
    <w:rsid w:val="00307EBA"/>
    <w:rPr>
      <w:i/>
      <w:iCs/>
      <w:sz w:val="24"/>
      <w:szCs w:val="24"/>
    </w:rPr>
  </w:style>
  <w:style w:type="character" w:customStyle="1" w:styleId="Heading9Char">
    <w:name w:val="Heading 9 Char"/>
    <w:basedOn w:val="DefaultParagraphFont"/>
    <w:link w:val="Heading9"/>
    <w:uiPriority w:val="9"/>
    <w:semiHidden/>
    <w:rsid w:val="00307EBA"/>
    <w:rPr>
      <w:rFonts w:asciiTheme="majorHAnsi" w:eastAsiaTheme="majorEastAsia" w:hAnsiTheme="majorHAnsi"/>
    </w:rPr>
  </w:style>
  <w:style w:type="paragraph" w:styleId="Title">
    <w:name w:val="Title"/>
    <w:basedOn w:val="Normal"/>
    <w:next w:val="Normal"/>
    <w:link w:val="TitleChar"/>
    <w:uiPriority w:val="10"/>
    <w:qFormat/>
    <w:rsid w:val="00307E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E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E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EBA"/>
    <w:rPr>
      <w:rFonts w:asciiTheme="majorHAnsi" w:eastAsiaTheme="majorEastAsia" w:hAnsiTheme="majorHAnsi"/>
      <w:sz w:val="24"/>
      <w:szCs w:val="24"/>
    </w:rPr>
  </w:style>
  <w:style w:type="character" w:styleId="Strong">
    <w:name w:val="Strong"/>
    <w:basedOn w:val="DefaultParagraphFont"/>
    <w:uiPriority w:val="22"/>
    <w:qFormat/>
    <w:rsid w:val="00307EBA"/>
    <w:rPr>
      <w:b/>
      <w:bCs/>
    </w:rPr>
  </w:style>
  <w:style w:type="character" w:styleId="Emphasis">
    <w:name w:val="Emphasis"/>
    <w:basedOn w:val="DefaultParagraphFont"/>
    <w:uiPriority w:val="20"/>
    <w:qFormat/>
    <w:rsid w:val="00307EBA"/>
    <w:rPr>
      <w:rFonts w:asciiTheme="minorHAnsi" w:hAnsiTheme="minorHAnsi"/>
      <w:b/>
      <w:i/>
      <w:iCs/>
    </w:rPr>
  </w:style>
  <w:style w:type="paragraph" w:styleId="NoSpacing">
    <w:name w:val="No Spacing"/>
    <w:basedOn w:val="Normal"/>
    <w:uiPriority w:val="1"/>
    <w:qFormat/>
    <w:rsid w:val="00307EBA"/>
    <w:rPr>
      <w:szCs w:val="32"/>
    </w:rPr>
  </w:style>
  <w:style w:type="paragraph" w:styleId="ListParagraph">
    <w:name w:val="List Paragraph"/>
    <w:basedOn w:val="Normal"/>
    <w:uiPriority w:val="34"/>
    <w:qFormat/>
    <w:rsid w:val="00307EBA"/>
    <w:pPr>
      <w:ind w:left="720"/>
      <w:contextualSpacing/>
    </w:pPr>
  </w:style>
  <w:style w:type="paragraph" w:styleId="Quote">
    <w:name w:val="Quote"/>
    <w:basedOn w:val="Normal"/>
    <w:next w:val="Normal"/>
    <w:link w:val="QuoteChar"/>
    <w:uiPriority w:val="29"/>
    <w:qFormat/>
    <w:rsid w:val="00307EBA"/>
    <w:rPr>
      <w:i/>
    </w:rPr>
  </w:style>
  <w:style w:type="character" w:customStyle="1" w:styleId="QuoteChar">
    <w:name w:val="Quote Char"/>
    <w:basedOn w:val="DefaultParagraphFont"/>
    <w:link w:val="Quote"/>
    <w:uiPriority w:val="29"/>
    <w:rsid w:val="00307EBA"/>
    <w:rPr>
      <w:i/>
      <w:sz w:val="24"/>
      <w:szCs w:val="24"/>
    </w:rPr>
  </w:style>
  <w:style w:type="paragraph" w:styleId="IntenseQuote">
    <w:name w:val="Intense Quote"/>
    <w:basedOn w:val="Normal"/>
    <w:next w:val="Normal"/>
    <w:link w:val="IntenseQuoteChar"/>
    <w:uiPriority w:val="30"/>
    <w:qFormat/>
    <w:rsid w:val="00307EBA"/>
    <w:pPr>
      <w:ind w:left="720" w:right="720"/>
    </w:pPr>
    <w:rPr>
      <w:b/>
      <w:i/>
      <w:szCs w:val="22"/>
    </w:rPr>
  </w:style>
  <w:style w:type="character" w:customStyle="1" w:styleId="IntenseQuoteChar">
    <w:name w:val="Intense Quote Char"/>
    <w:basedOn w:val="DefaultParagraphFont"/>
    <w:link w:val="IntenseQuote"/>
    <w:uiPriority w:val="30"/>
    <w:rsid w:val="00307EBA"/>
    <w:rPr>
      <w:b/>
      <w:i/>
      <w:sz w:val="24"/>
    </w:rPr>
  </w:style>
  <w:style w:type="character" w:styleId="SubtleEmphasis">
    <w:name w:val="Subtle Emphasis"/>
    <w:uiPriority w:val="19"/>
    <w:qFormat/>
    <w:rsid w:val="00307EBA"/>
    <w:rPr>
      <w:i/>
      <w:color w:val="5A5A5A" w:themeColor="text1" w:themeTint="A5"/>
    </w:rPr>
  </w:style>
  <w:style w:type="character" w:styleId="IntenseEmphasis">
    <w:name w:val="Intense Emphasis"/>
    <w:basedOn w:val="DefaultParagraphFont"/>
    <w:uiPriority w:val="21"/>
    <w:qFormat/>
    <w:rsid w:val="00307EBA"/>
    <w:rPr>
      <w:b/>
      <w:i/>
      <w:sz w:val="24"/>
      <w:szCs w:val="24"/>
      <w:u w:val="single"/>
    </w:rPr>
  </w:style>
  <w:style w:type="character" w:styleId="SubtleReference">
    <w:name w:val="Subtle Reference"/>
    <w:basedOn w:val="DefaultParagraphFont"/>
    <w:uiPriority w:val="31"/>
    <w:qFormat/>
    <w:rsid w:val="00307EBA"/>
    <w:rPr>
      <w:sz w:val="24"/>
      <w:szCs w:val="24"/>
      <w:u w:val="single"/>
    </w:rPr>
  </w:style>
  <w:style w:type="character" w:styleId="IntenseReference">
    <w:name w:val="Intense Reference"/>
    <w:basedOn w:val="DefaultParagraphFont"/>
    <w:uiPriority w:val="32"/>
    <w:qFormat/>
    <w:rsid w:val="00307EBA"/>
    <w:rPr>
      <w:b/>
      <w:sz w:val="24"/>
      <w:u w:val="single"/>
    </w:rPr>
  </w:style>
  <w:style w:type="character" w:styleId="BookTitle">
    <w:name w:val="Book Title"/>
    <w:basedOn w:val="DefaultParagraphFont"/>
    <w:uiPriority w:val="33"/>
    <w:qFormat/>
    <w:rsid w:val="00307E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EBA"/>
    <w:pPr>
      <w:outlineLvl w:val="9"/>
    </w:pPr>
  </w:style>
  <w:style w:type="paragraph" w:customStyle="1" w:styleId="Level1">
    <w:name w:val="Level 1"/>
    <w:basedOn w:val="Normal"/>
    <w:rsid w:val="003F3B1F"/>
    <w:pPr>
      <w:widowControl w:val="0"/>
      <w:ind w:left="1080" w:hanging="360"/>
    </w:pPr>
    <w:rPr>
      <w:snapToGrid w:val="0"/>
      <w:sz w:val="24"/>
    </w:rPr>
  </w:style>
  <w:style w:type="paragraph" w:styleId="HTMLPreformatted">
    <w:name w:val="HTML Preformatted"/>
    <w:basedOn w:val="Normal"/>
    <w:link w:val="HTMLPreformattedChar"/>
    <w:uiPriority w:val="99"/>
    <w:semiHidden/>
    <w:unhideWhenUsed/>
    <w:rsid w:val="00F9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szCs w:val="28"/>
    </w:rPr>
  </w:style>
  <w:style w:type="character" w:customStyle="1" w:styleId="HTMLPreformattedChar">
    <w:name w:val="HTML Preformatted Char"/>
    <w:basedOn w:val="DefaultParagraphFont"/>
    <w:link w:val="HTMLPreformatted"/>
    <w:uiPriority w:val="99"/>
    <w:semiHidden/>
    <w:rsid w:val="00F96FB5"/>
    <w:rPr>
      <w:rFonts w:ascii="Courier New" w:eastAsia="Times New Roman" w:hAnsi="Courier New" w:cs="Courier New"/>
      <w:sz w:val="28"/>
      <w:szCs w:val="28"/>
      <w:lang w:bidi="ar-SA"/>
    </w:rPr>
  </w:style>
  <w:style w:type="paragraph" w:customStyle="1" w:styleId="Default">
    <w:name w:val="Default"/>
    <w:rsid w:val="00F96FB5"/>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F96FB5"/>
    <w:rPr>
      <w:rFonts w:ascii="Tahoma" w:hAnsi="Tahoma" w:cs="Tahoma"/>
      <w:sz w:val="16"/>
      <w:szCs w:val="16"/>
    </w:rPr>
  </w:style>
  <w:style w:type="character" w:customStyle="1" w:styleId="BalloonTextChar">
    <w:name w:val="Balloon Text Char"/>
    <w:basedOn w:val="DefaultParagraphFont"/>
    <w:link w:val="BalloonText"/>
    <w:uiPriority w:val="99"/>
    <w:semiHidden/>
    <w:rsid w:val="00F96FB5"/>
    <w:rPr>
      <w:rFonts w:ascii="Tahoma" w:eastAsia="Times New Roman" w:hAnsi="Tahoma" w:cs="Tahoma"/>
      <w:sz w:val="16"/>
      <w:szCs w:val="16"/>
      <w:lang w:bidi="ar-SA"/>
    </w:rPr>
  </w:style>
  <w:style w:type="paragraph" w:styleId="Header">
    <w:name w:val="header"/>
    <w:basedOn w:val="Normal"/>
    <w:link w:val="HeaderChar"/>
    <w:uiPriority w:val="99"/>
    <w:unhideWhenUsed/>
    <w:rsid w:val="00A06227"/>
    <w:pPr>
      <w:tabs>
        <w:tab w:val="center" w:pos="4680"/>
        <w:tab w:val="right" w:pos="9360"/>
      </w:tabs>
    </w:pPr>
  </w:style>
  <w:style w:type="character" w:customStyle="1" w:styleId="HeaderChar">
    <w:name w:val="Header Char"/>
    <w:basedOn w:val="DefaultParagraphFont"/>
    <w:link w:val="Header"/>
    <w:uiPriority w:val="99"/>
    <w:rsid w:val="00A06227"/>
    <w:rPr>
      <w:rFonts w:ascii="Times New Roman" w:eastAsia="Times New Roman" w:hAnsi="Times New Roman"/>
      <w:sz w:val="20"/>
      <w:szCs w:val="20"/>
      <w:lang w:bidi="ar-SA"/>
    </w:rPr>
  </w:style>
  <w:style w:type="paragraph" w:styleId="Footer">
    <w:name w:val="footer"/>
    <w:basedOn w:val="Normal"/>
    <w:link w:val="FooterChar"/>
    <w:uiPriority w:val="99"/>
    <w:unhideWhenUsed/>
    <w:rsid w:val="00A06227"/>
    <w:pPr>
      <w:tabs>
        <w:tab w:val="center" w:pos="4680"/>
        <w:tab w:val="right" w:pos="9360"/>
      </w:tabs>
    </w:pPr>
  </w:style>
  <w:style w:type="character" w:customStyle="1" w:styleId="FooterChar">
    <w:name w:val="Footer Char"/>
    <w:basedOn w:val="DefaultParagraphFont"/>
    <w:link w:val="Footer"/>
    <w:uiPriority w:val="99"/>
    <w:rsid w:val="00A06227"/>
    <w:rPr>
      <w:rFonts w:ascii="Times New Roman" w:eastAsia="Times New Roman" w:hAnsi="Times New Roman"/>
      <w:sz w:val="20"/>
      <w:szCs w:val="20"/>
      <w:lang w:bidi="ar-SA"/>
    </w:rPr>
  </w:style>
</w:styles>
</file>

<file path=word/webSettings.xml><?xml version="1.0" encoding="utf-8"?>
<w:webSettings xmlns:r="http://schemas.openxmlformats.org/officeDocument/2006/relationships" xmlns:w="http://schemas.openxmlformats.org/wordprocessingml/2006/main">
  <w:divs>
    <w:div w:id="842359727">
      <w:bodyDiv w:val="1"/>
      <w:marLeft w:val="0"/>
      <w:marRight w:val="0"/>
      <w:marTop w:val="0"/>
      <w:marBottom w:val="0"/>
      <w:divBdr>
        <w:top w:val="none" w:sz="0" w:space="0" w:color="auto"/>
        <w:left w:val="none" w:sz="0" w:space="0" w:color="auto"/>
        <w:bottom w:val="none" w:sz="0" w:space="0" w:color="auto"/>
        <w:right w:val="none" w:sz="0" w:space="0" w:color="auto"/>
      </w:divBdr>
      <w:divsChild>
        <w:div w:id="1472552641">
          <w:marLeft w:val="0"/>
          <w:marRight w:val="0"/>
          <w:marTop w:val="300"/>
          <w:marBottom w:val="0"/>
          <w:divBdr>
            <w:top w:val="none" w:sz="0" w:space="0" w:color="auto"/>
            <w:left w:val="none" w:sz="0" w:space="0" w:color="auto"/>
            <w:bottom w:val="none" w:sz="0" w:space="0" w:color="auto"/>
            <w:right w:val="none" w:sz="0" w:space="0" w:color="auto"/>
          </w:divBdr>
          <w:divsChild>
            <w:div w:id="1148471600">
              <w:marLeft w:val="0"/>
              <w:marRight w:val="0"/>
              <w:marTop w:val="0"/>
              <w:marBottom w:val="0"/>
              <w:divBdr>
                <w:top w:val="single" w:sz="36" w:space="0" w:color="FFFFFF"/>
                <w:left w:val="single" w:sz="36" w:space="0" w:color="FFFFFF"/>
                <w:bottom w:val="single" w:sz="36" w:space="0" w:color="FFFFFF"/>
                <w:right w:val="single" w:sz="36" w:space="0" w:color="FFFFFF"/>
              </w:divBdr>
              <w:divsChild>
                <w:div w:id="1920946997">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403331018">
      <w:bodyDiv w:val="1"/>
      <w:marLeft w:val="0"/>
      <w:marRight w:val="0"/>
      <w:marTop w:val="0"/>
      <w:marBottom w:val="0"/>
      <w:divBdr>
        <w:top w:val="none" w:sz="0" w:space="0" w:color="auto"/>
        <w:left w:val="none" w:sz="0" w:space="0" w:color="auto"/>
        <w:bottom w:val="none" w:sz="0" w:space="0" w:color="auto"/>
        <w:right w:val="none" w:sz="0" w:space="0" w:color="auto"/>
      </w:divBdr>
      <w:divsChild>
        <w:div w:id="170753996">
          <w:marLeft w:val="0"/>
          <w:marRight w:val="0"/>
          <w:marTop w:val="300"/>
          <w:marBottom w:val="0"/>
          <w:divBdr>
            <w:top w:val="none" w:sz="0" w:space="0" w:color="auto"/>
            <w:left w:val="none" w:sz="0" w:space="0" w:color="auto"/>
            <w:bottom w:val="none" w:sz="0" w:space="0" w:color="auto"/>
            <w:right w:val="none" w:sz="0" w:space="0" w:color="auto"/>
          </w:divBdr>
          <w:divsChild>
            <w:div w:id="185216524">
              <w:marLeft w:val="0"/>
              <w:marRight w:val="0"/>
              <w:marTop w:val="0"/>
              <w:marBottom w:val="0"/>
              <w:divBdr>
                <w:top w:val="single" w:sz="36" w:space="0" w:color="FFFFFF"/>
                <w:left w:val="single" w:sz="36" w:space="0" w:color="FFFFFF"/>
                <w:bottom w:val="single" w:sz="36" w:space="0" w:color="FFFFFF"/>
                <w:right w:val="single" w:sz="36" w:space="0" w:color="FFFFFF"/>
              </w:divBdr>
              <w:divsChild>
                <w:div w:id="757945710">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047825718">
      <w:bodyDiv w:val="1"/>
      <w:marLeft w:val="0"/>
      <w:marRight w:val="0"/>
      <w:marTop w:val="0"/>
      <w:marBottom w:val="0"/>
      <w:divBdr>
        <w:top w:val="none" w:sz="0" w:space="0" w:color="auto"/>
        <w:left w:val="none" w:sz="0" w:space="0" w:color="auto"/>
        <w:bottom w:val="none" w:sz="0" w:space="0" w:color="auto"/>
        <w:right w:val="none" w:sz="0" w:space="0" w:color="auto"/>
      </w:divBdr>
      <w:divsChild>
        <w:div w:id="1310013230">
          <w:marLeft w:val="0"/>
          <w:marRight w:val="0"/>
          <w:marTop w:val="300"/>
          <w:marBottom w:val="0"/>
          <w:divBdr>
            <w:top w:val="none" w:sz="0" w:space="0" w:color="auto"/>
            <w:left w:val="none" w:sz="0" w:space="0" w:color="auto"/>
            <w:bottom w:val="none" w:sz="0" w:space="0" w:color="auto"/>
            <w:right w:val="none" w:sz="0" w:space="0" w:color="auto"/>
          </w:divBdr>
          <w:divsChild>
            <w:div w:id="845898060">
              <w:marLeft w:val="0"/>
              <w:marRight w:val="0"/>
              <w:marTop w:val="0"/>
              <w:marBottom w:val="0"/>
              <w:divBdr>
                <w:top w:val="single" w:sz="36" w:space="0" w:color="FFFFFF"/>
                <w:left w:val="single" w:sz="36" w:space="0" w:color="FFFFFF"/>
                <w:bottom w:val="single" w:sz="36" w:space="0" w:color="FFFFFF"/>
                <w:right w:val="single" w:sz="36" w:space="0" w:color="FFFFFF"/>
              </w:divBdr>
              <w:divsChild>
                <w:div w:id="342323633">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ivfrost</dc:creator>
  <cp:keywords/>
  <dc:description/>
  <cp:lastModifiedBy>ivfrost</cp:lastModifiedBy>
  <cp:revision>4</cp:revision>
  <cp:lastPrinted>2009-01-14T15:34:00Z</cp:lastPrinted>
  <dcterms:created xsi:type="dcterms:W3CDTF">2009-01-16T13:31:00Z</dcterms:created>
  <dcterms:modified xsi:type="dcterms:W3CDTF">2009-01-28T17:19:00Z</dcterms:modified>
</cp:coreProperties>
</file>