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B69A" w14:textId="130003C5" w:rsidR="00EE36F0" w:rsidRPr="00834E99" w:rsidRDefault="00EE36F0"/>
    <w:p w14:paraId="3B16A08F" w14:textId="6E1A5CFF" w:rsidR="006B5900" w:rsidRPr="006B5900" w:rsidRDefault="00EE36F0" w:rsidP="006B5900">
      <w:pPr>
        <w:ind w:left="2160" w:firstLine="720"/>
        <w:rPr>
          <w:b/>
          <w:bCs/>
        </w:rPr>
      </w:pPr>
      <w:r w:rsidRPr="00834E99">
        <w:rPr>
          <w:b/>
          <w:bCs/>
        </w:rPr>
        <w:t>Public Service Announcement</w:t>
      </w:r>
    </w:p>
    <w:p w14:paraId="59CF1C50" w14:textId="6D81DF38" w:rsidR="00EE36F0" w:rsidRPr="00834E99" w:rsidRDefault="00EE36F0" w:rsidP="00EE36F0">
      <w:pPr>
        <w:pStyle w:val="NormalWeb"/>
        <w:shd w:val="clear" w:color="auto" w:fill="FFFFFF"/>
        <w:rPr>
          <w:rFonts w:ascii="Helvetica" w:hAnsi="Helvetica"/>
          <w:color w:val="0A0A0A"/>
        </w:rPr>
      </w:pPr>
      <w:proofErr w:type="spellStart"/>
      <w:r w:rsidRPr="00834E99">
        <w:rPr>
          <w:rStyle w:val="Emphasis"/>
          <w:rFonts w:ascii="Helvetica" w:hAnsi="Helvetica"/>
          <w:color w:val="0A0A0A"/>
        </w:rPr>
        <w:t>GradGuard's</w:t>
      </w:r>
      <w:proofErr w:type="spellEnd"/>
      <w:r w:rsidRPr="00834E99">
        <w:rPr>
          <w:rStyle w:val="Emphasis"/>
          <w:rFonts w:ascii="Helvetica" w:hAnsi="Helvetica"/>
          <w:color w:val="0A0A0A"/>
        </w:rPr>
        <w:t xml:space="preserve"> </w:t>
      </w:r>
      <w:r w:rsidR="0085587C">
        <w:rPr>
          <w:rStyle w:val="Emphasis"/>
          <w:rFonts w:ascii="Helvetica" w:hAnsi="Helvetica"/>
          <w:color w:val="0A0A0A"/>
        </w:rPr>
        <w:t>T</w:t>
      </w:r>
      <w:r w:rsidRPr="00834E99">
        <w:rPr>
          <w:rStyle w:val="Emphasis"/>
          <w:rFonts w:ascii="Helvetica" w:hAnsi="Helvetica"/>
          <w:color w:val="0A0A0A"/>
        </w:rPr>
        <w:t xml:space="preserve">uition </w:t>
      </w:r>
      <w:r w:rsidR="0085587C">
        <w:rPr>
          <w:rStyle w:val="Emphasis"/>
          <w:rFonts w:ascii="Helvetica" w:hAnsi="Helvetica"/>
          <w:color w:val="0A0A0A"/>
        </w:rPr>
        <w:t>I</w:t>
      </w:r>
      <w:r w:rsidRPr="00834E99">
        <w:rPr>
          <w:rStyle w:val="Emphasis"/>
          <w:rFonts w:ascii="Helvetica" w:hAnsi="Helvetica"/>
          <w:color w:val="0A0A0A"/>
        </w:rPr>
        <w:t>nsurance is the first program to offer nationwide protection for</w:t>
      </w:r>
      <w:r w:rsidR="00DF4226">
        <w:rPr>
          <w:rStyle w:val="Emphasis"/>
          <w:rFonts w:ascii="Helvetica" w:hAnsi="Helvetica"/>
          <w:color w:val="0A0A0A"/>
        </w:rPr>
        <w:t xml:space="preserve"> diseases and</w:t>
      </w:r>
      <w:r w:rsidRPr="00834E99">
        <w:rPr>
          <w:rStyle w:val="Emphasis"/>
          <w:rFonts w:ascii="Helvetica" w:hAnsi="Helvetica"/>
          <w:color w:val="0A0A0A"/>
        </w:rPr>
        <w:t xml:space="preserve"> epidemics, including getting sick with COVID-19 or Monkeypox – providing a financial safety net to help students return to class when they are in good health. </w:t>
      </w:r>
    </w:p>
    <w:p w14:paraId="797E0EF7" w14:textId="77777777" w:rsidR="00EE36F0" w:rsidRPr="00834E99" w:rsidRDefault="00000000" w:rsidP="00EE36F0">
      <w:pPr>
        <w:pStyle w:val="NormalWeb"/>
        <w:shd w:val="clear" w:color="auto" w:fill="FFFFFF"/>
        <w:rPr>
          <w:rFonts w:ascii="Helvetica" w:hAnsi="Helvetica"/>
          <w:color w:val="0A0A0A"/>
        </w:rPr>
      </w:pPr>
      <w:hyperlink r:id="rId5" w:history="1">
        <w:proofErr w:type="spellStart"/>
        <w:r w:rsidR="00EE36F0" w:rsidRPr="00834E99">
          <w:rPr>
            <w:rStyle w:val="Hyperlink"/>
            <w:rFonts w:ascii="Helvetica" w:hAnsi="Helvetica"/>
            <w:color w:val="0A0A0A"/>
          </w:rPr>
          <w:t>GradGuard</w:t>
        </w:r>
        <w:proofErr w:type="spellEnd"/>
      </w:hyperlink>
      <w:r w:rsidR="00EE36F0" w:rsidRPr="00834E99">
        <w:rPr>
          <w:rFonts w:ascii="Helvetica" w:hAnsi="Helvetica"/>
          <w:color w:val="0A0A0A"/>
        </w:rPr>
        <w:t>, the nation’s leading authority on helping protect college students and their families from the risks of college life is pleased to announce the addition of </w:t>
      </w:r>
      <w:hyperlink r:id="rId6" w:history="1">
        <w:r w:rsidR="00EE36F0" w:rsidRPr="00834E99">
          <w:rPr>
            <w:rStyle w:val="Hyperlink"/>
            <w:rFonts w:ascii="Helvetica" w:hAnsi="Helvetica"/>
            <w:color w:val="0A0A0A"/>
          </w:rPr>
          <w:t>an epidemic coverage endorsement</w:t>
        </w:r>
      </w:hyperlink>
      <w:r w:rsidR="00EE36F0" w:rsidRPr="00834E99">
        <w:rPr>
          <w:rFonts w:ascii="Helvetica" w:hAnsi="Helvetica"/>
          <w:color w:val="0A0A0A"/>
        </w:rPr>
        <w:t> on new tuition insurance plans.</w:t>
      </w:r>
    </w:p>
    <w:p w14:paraId="7411003B" w14:textId="2B113861" w:rsidR="00EE36F0" w:rsidRPr="00834E99" w:rsidRDefault="00000000" w:rsidP="00EE36F0">
      <w:pPr>
        <w:pStyle w:val="NormalWeb"/>
        <w:shd w:val="clear" w:color="auto" w:fill="FFFFFF"/>
        <w:rPr>
          <w:rFonts w:ascii="Helvetica" w:hAnsi="Helvetica"/>
          <w:color w:val="0A0A0A"/>
        </w:rPr>
      </w:pPr>
      <w:hyperlink r:id="rId7" w:history="1">
        <w:r w:rsidR="00EE36F0" w:rsidRPr="00834E99">
          <w:rPr>
            <w:rStyle w:val="Hyperlink"/>
            <w:rFonts w:ascii="Helvetica" w:hAnsi="Helvetica"/>
            <w:color w:val="0A0A0A"/>
          </w:rPr>
          <w:t>Tuition insurance</w:t>
        </w:r>
      </w:hyperlink>
      <w:r w:rsidR="00EE36F0" w:rsidRPr="00834E99">
        <w:rPr>
          <w:rFonts w:ascii="Helvetica" w:hAnsi="Helvetica"/>
          <w:color w:val="0A0A0A"/>
        </w:rPr>
        <w:t xml:space="preserve"> can provide reimbursement for </w:t>
      </w:r>
      <w:r w:rsidR="006F38B6">
        <w:rPr>
          <w:rFonts w:ascii="Helvetica" w:hAnsi="Helvetica"/>
          <w:color w:val="0A0A0A"/>
        </w:rPr>
        <w:t xml:space="preserve">a covered student in the event of </w:t>
      </w:r>
      <w:r w:rsidR="00EE36F0" w:rsidRPr="00834E99">
        <w:rPr>
          <w:rFonts w:ascii="Helvetica" w:hAnsi="Helvetica"/>
          <w:color w:val="0A0A0A"/>
        </w:rPr>
        <w:t>a complete medical withdrawal due to a covered illness or injury, including mental health conditions and death of a student or tuition payer. </w:t>
      </w:r>
    </w:p>
    <w:p w14:paraId="4B42C3DB" w14:textId="1763C774" w:rsidR="00EE36F0" w:rsidRPr="00834E99" w:rsidRDefault="00EE36F0" w:rsidP="00EE36F0">
      <w:pPr>
        <w:pStyle w:val="NormalWeb"/>
        <w:shd w:val="clear" w:color="auto" w:fill="FFFFFF"/>
        <w:rPr>
          <w:rFonts w:ascii="Helvetica" w:hAnsi="Helvetica"/>
          <w:color w:val="0A0A0A"/>
        </w:rPr>
      </w:pPr>
      <w:r w:rsidRPr="00834E99">
        <w:rPr>
          <w:rFonts w:ascii="Helvetica" w:hAnsi="Helvetica"/>
          <w:color w:val="0A0A0A"/>
        </w:rPr>
        <w:t>The </w:t>
      </w:r>
      <w:hyperlink r:id="rId8" w:history="1">
        <w:r w:rsidRPr="00834E99">
          <w:rPr>
            <w:rStyle w:val="Hyperlink"/>
            <w:rFonts w:ascii="Helvetica" w:hAnsi="Helvetica"/>
            <w:color w:val="0A0A0A"/>
          </w:rPr>
          <w:t>epidemic coverage endorsement</w:t>
        </w:r>
      </w:hyperlink>
      <w:r w:rsidRPr="00834E99">
        <w:rPr>
          <w:rFonts w:ascii="Helvetica" w:hAnsi="Helvetica"/>
          <w:color w:val="0A0A0A"/>
        </w:rPr>
        <w:t xml:space="preserve"> can provide protection for when an insured student completely withdraws from school for the covered term due to becoming ill with an epidemic, including COVID-19. </w:t>
      </w:r>
      <w:proofErr w:type="spellStart"/>
      <w:r w:rsidRPr="00834E99">
        <w:rPr>
          <w:rFonts w:ascii="Helvetica" w:hAnsi="Helvetica"/>
          <w:color w:val="0A0A0A"/>
        </w:rPr>
        <w:t>GradGuard</w:t>
      </w:r>
      <w:proofErr w:type="spellEnd"/>
      <w:r w:rsidRPr="00834E99">
        <w:rPr>
          <w:rFonts w:ascii="Helvetica" w:hAnsi="Helvetica"/>
          <w:color w:val="0A0A0A"/>
        </w:rPr>
        <w:t xml:space="preserve"> </w:t>
      </w:r>
      <w:r w:rsidR="0085587C">
        <w:rPr>
          <w:rFonts w:ascii="Helvetica" w:hAnsi="Helvetica"/>
          <w:color w:val="0A0A0A"/>
        </w:rPr>
        <w:t>T</w:t>
      </w:r>
      <w:r w:rsidRPr="00834E99">
        <w:rPr>
          <w:rFonts w:ascii="Helvetica" w:hAnsi="Helvetica"/>
          <w:color w:val="0A0A0A"/>
        </w:rPr>
        <w:t xml:space="preserve">uition </w:t>
      </w:r>
      <w:r w:rsidR="0085587C">
        <w:rPr>
          <w:rFonts w:ascii="Helvetica" w:hAnsi="Helvetica"/>
          <w:color w:val="0A0A0A"/>
        </w:rPr>
        <w:t>I</w:t>
      </w:r>
      <w:r w:rsidRPr="00834E99">
        <w:rPr>
          <w:rFonts w:ascii="Helvetica" w:hAnsi="Helvetica"/>
          <w:color w:val="0A0A0A"/>
        </w:rPr>
        <w:t xml:space="preserve">nsurance </w:t>
      </w:r>
      <w:r w:rsidR="0085587C">
        <w:rPr>
          <w:rFonts w:ascii="Helvetica" w:hAnsi="Helvetica"/>
          <w:color w:val="0A0A0A"/>
        </w:rPr>
        <w:t>P</w:t>
      </w:r>
      <w:r w:rsidRPr="00834E99">
        <w:rPr>
          <w:rFonts w:ascii="Helvetica" w:hAnsi="Helvetica"/>
          <w:color w:val="0A0A0A"/>
        </w:rPr>
        <w:t>lans purchased on or after February 18, 2022 include the endorsement.</w:t>
      </w:r>
    </w:p>
    <w:p w14:paraId="5B607C1A" w14:textId="1184BFFF" w:rsidR="00EE36F0" w:rsidRPr="00834E99" w:rsidRDefault="00EE36F0" w:rsidP="00EE36F0">
      <w:pPr>
        <w:pStyle w:val="NormalWeb"/>
        <w:shd w:val="clear" w:color="auto" w:fill="FFFFFF"/>
        <w:rPr>
          <w:rFonts w:ascii="Helvetica" w:hAnsi="Helvetica"/>
          <w:color w:val="0A0A0A"/>
        </w:rPr>
      </w:pPr>
      <w:r w:rsidRPr="00834E99">
        <w:rPr>
          <w:rFonts w:ascii="Helvetica" w:hAnsi="Helvetica"/>
          <w:color w:val="0A0A0A"/>
        </w:rPr>
        <w:t xml:space="preserve">“This new epidemic </w:t>
      </w:r>
      <w:r w:rsidR="006B5900">
        <w:rPr>
          <w:rFonts w:ascii="Helvetica" w:hAnsi="Helvetica"/>
          <w:color w:val="0A0A0A"/>
        </w:rPr>
        <w:t xml:space="preserve">coverage </w:t>
      </w:r>
      <w:r w:rsidRPr="00834E99">
        <w:rPr>
          <w:rFonts w:ascii="Helvetica" w:hAnsi="Helvetica"/>
          <w:color w:val="0A0A0A"/>
        </w:rPr>
        <w:t xml:space="preserve">endorsement shows our dedication to </w:t>
      </w:r>
      <w:r w:rsidR="000C561F" w:rsidRPr="00834E99">
        <w:rPr>
          <w:rFonts w:ascii="Helvetica" w:hAnsi="Helvetica"/>
          <w:color w:val="0A0A0A"/>
        </w:rPr>
        <w:t>protect</w:t>
      </w:r>
      <w:r w:rsidR="006B5900">
        <w:rPr>
          <w:rFonts w:ascii="Helvetica" w:hAnsi="Helvetica"/>
          <w:color w:val="0A0A0A"/>
        </w:rPr>
        <w:t>ing</w:t>
      </w:r>
      <w:r w:rsidR="000C561F" w:rsidRPr="00834E99">
        <w:rPr>
          <w:rFonts w:ascii="Helvetica" w:hAnsi="Helvetica"/>
          <w:color w:val="0A0A0A"/>
        </w:rPr>
        <w:t xml:space="preserve"> students from the risks associated with C</w:t>
      </w:r>
      <w:r w:rsidR="00AA3518">
        <w:rPr>
          <w:rFonts w:ascii="Helvetica" w:hAnsi="Helvetica"/>
          <w:color w:val="0A0A0A"/>
        </w:rPr>
        <w:t>OVID</w:t>
      </w:r>
      <w:r w:rsidR="000C561F" w:rsidRPr="00834E99">
        <w:rPr>
          <w:rFonts w:ascii="Helvetica" w:hAnsi="Helvetica"/>
          <w:color w:val="0A0A0A"/>
        </w:rPr>
        <w:t xml:space="preserve">-19 and </w:t>
      </w:r>
      <w:r w:rsidR="006B5900">
        <w:rPr>
          <w:rFonts w:ascii="Helvetica" w:hAnsi="Helvetica"/>
          <w:color w:val="0A0A0A"/>
        </w:rPr>
        <w:t xml:space="preserve">will </w:t>
      </w:r>
      <w:r w:rsidR="000C561F" w:rsidRPr="00834E99">
        <w:rPr>
          <w:rFonts w:ascii="Helvetica" w:hAnsi="Helvetica"/>
          <w:color w:val="0A0A0A"/>
        </w:rPr>
        <w:t>now address the growing concern on campus</w:t>
      </w:r>
      <w:r w:rsidR="00AD3C0D">
        <w:rPr>
          <w:rFonts w:ascii="Helvetica" w:hAnsi="Helvetica"/>
          <w:color w:val="0A0A0A"/>
        </w:rPr>
        <w:t>es</w:t>
      </w:r>
      <w:r w:rsidR="000C561F" w:rsidRPr="00834E99">
        <w:rPr>
          <w:rFonts w:ascii="Helvetica" w:hAnsi="Helvetica"/>
          <w:color w:val="0A0A0A"/>
        </w:rPr>
        <w:t xml:space="preserve"> regarding Monkeypox</w:t>
      </w:r>
      <w:r w:rsidR="006B5900">
        <w:rPr>
          <w:rFonts w:ascii="Helvetica" w:hAnsi="Helvetica"/>
          <w:color w:val="0A0A0A"/>
        </w:rPr>
        <w:t>,</w:t>
      </w:r>
      <w:r w:rsidR="000C561F" w:rsidRPr="00834E99">
        <w:rPr>
          <w:rFonts w:ascii="Helvetica" w:hAnsi="Helvetica"/>
          <w:color w:val="0A0A0A"/>
        </w:rPr>
        <w:t xml:space="preserve">” </w:t>
      </w:r>
      <w:r w:rsidRPr="00834E99">
        <w:rPr>
          <w:rFonts w:ascii="Helvetica" w:hAnsi="Helvetica"/>
          <w:color w:val="0A0A0A"/>
        </w:rPr>
        <w:t xml:space="preserve">said John Fees, co-founder of </w:t>
      </w:r>
      <w:proofErr w:type="spellStart"/>
      <w:r w:rsidRPr="00834E99">
        <w:rPr>
          <w:rFonts w:ascii="Helvetica" w:hAnsi="Helvetica"/>
          <w:color w:val="0A0A0A"/>
        </w:rPr>
        <w:t>GradGuard</w:t>
      </w:r>
      <w:proofErr w:type="spellEnd"/>
      <w:r w:rsidRPr="00834E99">
        <w:rPr>
          <w:rFonts w:ascii="Helvetica" w:hAnsi="Helvetica"/>
          <w:color w:val="0A0A0A"/>
        </w:rPr>
        <w:t xml:space="preserve">. </w:t>
      </w:r>
    </w:p>
    <w:p w14:paraId="6DDF7E24" w14:textId="574271CE" w:rsidR="00EE36F0" w:rsidRPr="00834E99" w:rsidRDefault="00EE36F0" w:rsidP="00EE36F0">
      <w:pPr>
        <w:pStyle w:val="NormalWeb"/>
        <w:shd w:val="clear" w:color="auto" w:fill="FFFFFF"/>
        <w:rPr>
          <w:rFonts w:ascii="Helvetica" w:hAnsi="Helvetica"/>
          <w:color w:val="0A0A0A"/>
        </w:rPr>
      </w:pPr>
      <w:r w:rsidRPr="00834E99">
        <w:rPr>
          <w:rFonts w:ascii="Helvetica" w:hAnsi="Helvetica"/>
          <w:color w:val="0A0A0A"/>
        </w:rPr>
        <w:t xml:space="preserve">Claims due to known, foreseeable, or expected events, epidemics, cessation of operations by the school, or fear of attending school are generally not covered. </w:t>
      </w:r>
    </w:p>
    <w:p w14:paraId="247A3693" w14:textId="471417B3" w:rsidR="00F220C1" w:rsidRDefault="00EE36F0" w:rsidP="00EE36F0">
      <w:pPr>
        <w:pStyle w:val="NormalWeb"/>
        <w:shd w:val="clear" w:color="auto" w:fill="FFFFFF"/>
        <w:rPr>
          <w:rFonts w:ascii="Helvetica" w:hAnsi="Helvetica"/>
          <w:color w:val="0A0A0A"/>
        </w:rPr>
      </w:pPr>
      <w:r w:rsidRPr="00834E99">
        <w:rPr>
          <w:rFonts w:ascii="Helvetica" w:hAnsi="Helvetica"/>
          <w:color w:val="0A0A0A"/>
        </w:rPr>
        <w:t>It's important for families to note that even prior to COVID-19</w:t>
      </w:r>
      <w:r w:rsidR="000C561F" w:rsidRPr="00834E99">
        <w:rPr>
          <w:rFonts w:ascii="Helvetica" w:hAnsi="Helvetica"/>
          <w:color w:val="0A0A0A"/>
        </w:rPr>
        <w:t xml:space="preserve"> or Monkeypox</w:t>
      </w:r>
      <w:r w:rsidRPr="00834E99">
        <w:rPr>
          <w:rFonts w:ascii="Helvetica" w:hAnsi="Helvetica"/>
          <w:color w:val="0A0A0A"/>
        </w:rPr>
        <w:t>, student health conditions force thousands of students to withdraw from classes each year, without the ability to recover the thousands of dollars paid for classes, fees</w:t>
      </w:r>
      <w:r w:rsidR="00F220C1">
        <w:rPr>
          <w:rFonts w:ascii="Helvetica" w:hAnsi="Helvetica"/>
          <w:color w:val="0A0A0A"/>
        </w:rPr>
        <w:t>,</w:t>
      </w:r>
      <w:r w:rsidRPr="00834E99">
        <w:rPr>
          <w:rFonts w:ascii="Helvetica" w:hAnsi="Helvetica"/>
          <w:color w:val="0A0A0A"/>
        </w:rPr>
        <w:t xml:space="preserve"> and housing.</w:t>
      </w:r>
    </w:p>
    <w:p w14:paraId="3CF9B555" w14:textId="68DE192C" w:rsidR="00EE36F0" w:rsidRPr="00F220C1" w:rsidRDefault="00EE36F0" w:rsidP="00EE36F0">
      <w:pPr>
        <w:pStyle w:val="NormalWeb"/>
        <w:shd w:val="clear" w:color="auto" w:fill="FFFFFF"/>
        <w:rPr>
          <w:rFonts w:ascii="Helvetica" w:hAnsi="Helvetica"/>
          <w:color w:val="0A0A0A"/>
        </w:rPr>
      </w:pPr>
      <w:r w:rsidRPr="00F220C1">
        <w:rPr>
          <w:rStyle w:val="Strong"/>
          <w:rFonts w:ascii="Helvetica" w:hAnsi="Helvetica"/>
          <w:color w:val="0A0A0A"/>
        </w:rPr>
        <w:t>34% of college students have anxiety</w:t>
      </w:r>
      <w:r w:rsidRPr="00F220C1">
        <w:rPr>
          <w:rFonts w:ascii="Helvetica" w:hAnsi="Helvetica"/>
          <w:color w:val="0A0A0A"/>
        </w:rPr>
        <w:t>, and those rates have risen in recent years, according to data from a </w:t>
      </w:r>
      <w:hyperlink r:id="rId9" w:history="1">
        <w:r w:rsidRPr="00F220C1">
          <w:rPr>
            <w:rStyle w:val="Hyperlink"/>
            <w:rFonts w:ascii="Helvetica" w:hAnsi="Helvetica"/>
            <w:color w:val="0A0A0A"/>
          </w:rPr>
          <w:t>2021 Healthy Minds Network Study</w:t>
        </w:r>
      </w:hyperlink>
      <w:r w:rsidRPr="00F220C1">
        <w:rPr>
          <w:rFonts w:ascii="Helvetica" w:hAnsi="Helvetica"/>
          <w:color w:val="0A0A0A"/>
        </w:rPr>
        <w:t>. Nearly </w:t>
      </w:r>
      <w:r w:rsidRPr="00F220C1">
        <w:rPr>
          <w:rStyle w:val="Strong"/>
          <w:rFonts w:ascii="Helvetica" w:hAnsi="Helvetica"/>
          <w:color w:val="0A0A0A"/>
        </w:rPr>
        <w:t>73% of students reported moderate or serious psychological distress</w:t>
      </w:r>
      <w:r w:rsidRPr="00F220C1">
        <w:rPr>
          <w:rFonts w:ascii="Helvetica" w:hAnsi="Helvetica"/>
          <w:color w:val="0A0A0A"/>
        </w:rPr>
        <w:t> in the </w:t>
      </w:r>
      <w:hyperlink r:id="rId10" w:history="1">
        <w:r w:rsidRPr="00F220C1">
          <w:rPr>
            <w:rStyle w:val="Hyperlink"/>
            <w:rFonts w:ascii="Helvetica" w:hAnsi="Helvetica"/>
            <w:color w:val="0A0A0A"/>
          </w:rPr>
          <w:t>Fall 2021 American College Health Association National College Health Assessment</w:t>
        </w:r>
      </w:hyperlink>
      <w:r w:rsidRPr="00F220C1">
        <w:rPr>
          <w:rFonts w:ascii="Helvetica" w:hAnsi="Helvetica"/>
          <w:color w:val="0A0A0A"/>
        </w:rPr>
        <w:t> survey.  </w:t>
      </w:r>
    </w:p>
    <w:p w14:paraId="52AE4523" w14:textId="2B66A454" w:rsidR="00EE36F0" w:rsidRPr="00834E99" w:rsidRDefault="00EE36F0" w:rsidP="00EE36F0">
      <w:pPr>
        <w:pStyle w:val="NormalWeb"/>
        <w:shd w:val="clear" w:color="auto" w:fill="FFFFFF"/>
        <w:rPr>
          <w:rFonts w:ascii="Helvetica" w:hAnsi="Helvetica"/>
          <w:color w:val="0A0A0A"/>
        </w:rPr>
      </w:pPr>
      <w:proofErr w:type="spellStart"/>
      <w:r w:rsidRPr="00834E99">
        <w:rPr>
          <w:rFonts w:ascii="Helvetica" w:hAnsi="Helvetica"/>
          <w:color w:val="0A0A0A"/>
        </w:rPr>
        <w:t>GradGuard’s</w:t>
      </w:r>
      <w:proofErr w:type="spellEnd"/>
      <w:r w:rsidRPr="00834E99">
        <w:rPr>
          <w:rFonts w:ascii="Helvetica" w:hAnsi="Helvetica"/>
          <w:color w:val="0A0A0A"/>
        </w:rPr>
        <w:t xml:space="preserve"> </w:t>
      </w:r>
      <w:r w:rsidR="00AD3C0D">
        <w:rPr>
          <w:rFonts w:ascii="Helvetica" w:hAnsi="Helvetica"/>
          <w:color w:val="0A0A0A"/>
        </w:rPr>
        <w:t>T</w:t>
      </w:r>
      <w:r w:rsidRPr="00834E99">
        <w:rPr>
          <w:rFonts w:ascii="Helvetica" w:hAnsi="Helvetica"/>
          <w:color w:val="0A0A0A"/>
        </w:rPr>
        <w:t xml:space="preserve">uition </w:t>
      </w:r>
      <w:r w:rsidR="00AD3C0D">
        <w:rPr>
          <w:rFonts w:ascii="Helvetica" w:hAnsi="Helvetica"/>
          <w:color w:val="0A0A0A"/>
        </w:rPr>
        <w:t>I</w:t>
      </w:r>
      <w:r w:rsidRPr="00834E99">
        <w:rPr>
          <w:rFonts w:ascii="Helvetica" w:hAnsi="Helvetica"/>
          <w:color w:val="0A0A0A"/>
        </w:rPr>
        <w:t xml:space="preserve">nsurance can help reduce the stress students face in situations when they consider a medical withdrawal. Tuition insurance can reimburse the </w:t>
      </w:r>
      <w:r w:rsidR="000C561F" w:rsidRPr="00834E99">
        <w:rPr>
          <w:rFonts w:ascii="Helvetica" w:hAnsi="Helvetica"/>
          <w:color w:val="0A0A0A"/>
        </w:rPr>
        <w:t>out-of-pocket</w:t>
      </w:r>
      <w:r w:rsidRPr="00834E99">
        <w:rPr>
          <w:rFonts w:ascii="Helvetica" w:hAnsi="Helvetica"/>
          <w:color w:val="0A0A0A"/>
        </w:rPr>
        <w:t xml:space="preserve"> costs associated with a student’s housing, tuition, and student fees which helps everyone focus on the well-being of the student. Students with pre-existing conditions can also be protected if they are medically cleared to attend school at the time they purchase their plan.  </w:t>
      </w:r>
    </w:p>
    <w:p w14:paraId="0E7D4698" w14:textId="31144F80" w:rsidR="000C561F" w:rsidRPr="00834E99" w:rsidRDefault="000C561F" w:rsidP="000C561F">
      <w:pPr>
        <w:pStyle w:val="NormalWeb"/>
        <w:shd w:val="clear" w:color="auto" w:fill="FFFFFF"/>
        <w:rPr>
          <w:rFonts w:ascii="Helvetica" w:hAnsi="Helvetica"/>
          <w:color w:val="0A0A0A"/>
        </w:rPr>
      </w:pPr>
      <w:r w:rsidRPr="00834E99">
        <w:rPr>
          <w:rFonts w:ascii="Helvetica" w:hAnsi="Helvetica"/>
          <w:color w:val="0A0A0A"/>
        </w:rPr>
        <w:lastRenderedPageBreak/>
        <w:t>“Making the decision to withdraw from college is never easy,” said Fees. “</w:t>
      </w:r>
      <w:proofErr w:type="spellStart"/>
      <w:r w:rsidRPr="00834E99">
        <w:rPr>
          <w:rFonts w:ascii="Helvetica" w:hAnsi="Helvetica"/>
          <w:color w:val="0A0A0A"/>
        </w:rPr>
        <w:t>GradGuard’s</w:t>
      </w:r>
      <w:proofErr w:type="spellEnd"/>
      <w:r w:rsidRPr="00834E99">
        <w:rPr>
          <w:rFonts w:ascii="Helvetica" w:hAnsi="Helvetica"/>
          <w:color w:val="0A0A0A"/>
        </w:rPr>
        <w:t xml:space="preserve"> </w:t>
      </w:r>
      <w:r w:rsidR="00AD3C0D">
        <w:rPr>
          <w:rFonts w:ascii="Helvetica" w:hAnsi="Helvetica"/>
          <w:color w:val="0A0A0A"/>
        </w:rPr>
        <w:t>T</w:t>
      </w:r>
      <w:r w:rsidRPr="00834E99">
        <w:rPr>
          <w:rFonts w:ascii="Helvetica" w:hAnsi="Helvetica"/>
          <w:color w:val="0A0A0A"/>
        </w:rPr>
        <w:t xml:space="preserve">uition </w:t>
      </w:r>
      <w:r w:rsidR="00AD3C0D">
        <w:rPr>
          <w:rFonts w:ascii="Helvetica" w:hAnsi="Helvetica"/>
          <w:color w:val="0A0A0A"/>
        </w:rPr>
        <w:t>I</w:t>
      </w:r>
      <w:r w:rsidRPr="00834E99">
        <w:rPr>
          <w:rFonts w:ascii="Helvetica" w:hAnsi="Helvetica"/>
          <w:color w:val="0A0A0A"/>
        </w:rPr>
        <w:t>nsurance can help reduce the financial stress students and families face in these situations and help everyone focus on the well-being of the student.” </w:t>
      </w:r>
    </w:p>
    <w:p w14:paraId="3713D273" w14:textId="4036A913" w:rsidR="000C561F" w:rsidRDefault="000C561F" w:rsidP="00EE36F0">
      <w:pPr>
        <w:pStyle w:val="NormalWeb"/>
        <w:shd w:val="clear" w:color="auto" w:fill="FFFFFF"/>
        <w:rPr>
          <w:rFonts w:ascii="Helvetica" w:hAnsi="Helvetica"/>
          <w:color w:val="0A0A0A"/>
        </w:rPr>
      </w:pPr>
    </w:p>
    <w:p w14:paraId="0C010683" w14:textId="6152205C" w:rsidR="00AD3C0D" w:rsidRPr="00834E99" w:rsidRDefault="00AD3C0D" w:rsidP="007B6E13">
      <w:r w:rsidRPr="00DE6709">
        <w:rPr>
          <w:rFonts w:ascii="Helvetica" w:eastAsia="Times New Roman" w:hAnsi="Helvetica" w:cs="Times New Roman"/>
          <w:i/>
          <w:iCs/>
          <w:sz w:val="18"/>
          <w:szCs w:val="18"/>
        </w:rPr>
        <w:t xml:space="preserve">Terms, conditions, and exclusions (including for pre-existing conditions) apply.  Plans only available to U.S. residents and may not be available in all jurisdictions.  Recommended and provided by Grad Guard, a service of Next Generation Insurance Group, LLC (NGI), the licensed agent for all insurance programs.  Insurance plans include insurance benefits and assistance services.  Pricing may vary by state.  Insurance benefits are underwritten by Jefferson Insurance Company (NY, Administrative Office 9950 </w:t>
      </w:r>
      <w:proofErr w:type="spellStart"/>
      <w:r w:rsidRPr="00DE6709">
        <w:rPr>
          <w:rFonts w:ascii="Helvetica" w:eastAsia="Times New Roman" w:hAnsi="Helvetica" w:cs="Times New Roman"/>
          <w:i/>
          <w:iCs/>
          <w:sz w:val="18"/>
          <w:szCs w:val="18"/>
        </w:rPr>
        <w:t>Mayland</w:t>
      </w:r>
      <w:proofErr w:type="spellEnd"/>
      <w:r w:rsidRPr="00DE6709">
        <w:rPr>
          <w:rFonts w:ascii="Helvetica" w:eastAsia="Times New Roman" w:hAnsi="Helvetica" w:cs="Times New Roman"/>
          <w:i/>
          <w:iCs/>
          <w:sz w:val="18"/>
          <w:szCs w:val="18"/>
        </w:rPr>
        <w:t xml:space="preserve"> Drive, Richmond, VA 23233) rated “A+” (Superior) by A.M. Best </w:t>
      </w:r>
      <w:proofErr w:type="gramStart"/>
      <w:r w:rsidRPr="00DE6709">
        <w:rPr>
          <w:rFonts w:ascii="Helvetica" w:eastAsia="Times New Roman" w:hAnsi="Helvetica" w:cs="Times New Roman"/>
          <w:i/>
          <w:iCs/>
          <w:sz w:val="18"/>
          <w:szCs w:val="18"/>
        </w:rPr>
        <w:t>Co. .</w:t>
      </w:r>
      <w:proofErr w:type="gramEnd"/>
      <w:r w:rsidRPr="00DE6709">
        <w:rPr>
          <w:rFonts w:ascii="Helvetica" w:eastAsia="Times New Roman" w:hAnsi="Helvetica" w:cs="Times New Roman"/>
          <w:i/>
          <w:iCs/>
          <w:sz w:val="18"/>
          <w:szCs w:val="18"/>
        </w:rPr>
        <w:t xml:space="preserve">  A+ (Superior) is the 2nd highest of A.M. Best’s 13 Financial Strength Ratings.   Non-insurance benefits/services are provided by AGA Service Company.  Claims are administered by Allianz Global Assistance (AGA).  Allianz Global Assistance and Grad Guard Tuition Insurance are marks of AGA Service Company or its affiliates.  AGA Service Company and NGI are affiliates of Jefferson Insurance Company.  Plans include insurance benefits and assistance services.  Except as expressly provided for under the plan, consumer is responsible for charges incurred from outside vendors.  Contact AGA Service Company at 888-427-5045 or 9950 </w:t>
      </w:r>
      <w:proofErr w:type="spellStart"/>
      <w:r w:rsidRPr="00DE6709">
        <w:rPr>
          <w:rFonts w:ascii="Helvetica" w:eastAsia="Times New Roman" w:hAnsi="Helvetica" w:cs="Times New Roman"/>
          <w:i/>
          <w:iCs/>
          <w:sz w:val="18"/>
          <w:szCs w:val="18"/>
        </w:rPr>
        <w:t>Mayland</w:t>
      </w:r>
      <w:proofErr w:type="spellEnd"/>
      <w:r w:rsidRPr="00DE6709">
        <w:rPr>
          <w:rFonts w:ascii="Helvetica" w:eastAsia="Times New Roman" w:hAnsi="Helvetica" w:cs="Times New Roman"/>
          <w:i/>
          <w:iCs/>
          <w:sz w:val="18"/>
          <w:szCs w:val="18"/>
        </w:rPr>
        <w:t xml:space="preserve"> Dr., Richmond, VA  23233 or </w:t>
      </w:r>
      <w:hyperlink r:id="rId11" w:tgtFrame="_blank" w:history="1">
        <w:r w:rsidRPr="00DE6709">
          <w:rPr>
            <w:rFonts w:ascii="Helvetica" w:eastAsia="Times New Roman" w:hAnsi="Helvetica" w:cs="Times New Roman"/>
            <w:i/>
            <w:iCs/>
            <w:color w:val="0000FF"/>
            <w:sz w:val="18"/>
            <w:szCs w:val="18"/>
            <w:u w:val="single"/>
          </w:rPr>
          <w:t>tuition@allianzassistance.com</w:t>
        </w:r>
      </w:hyperlink>
      <w:r w:rsidRPr="00DE6709">
        <w:rPr>
          <w:rFonts w:ascii="Helvetica" w:eastAsia="Times New Roman" w:hAnsi="Helvetica" w:cs="Times New Roman"/>
          <w:i/>
          <w:iCs/>
          <w:sz w:val="18"/>
          <w:szCs w:val="18"/>
        </w:rPr>
        <w:t xml:space="preserve"> .</w:t>
      </w:r>
    </w:p>
    <w:p w14:paraId="79B106E1" w14:textId="77777777" w:rsidR="00AD3C0D" w:rsidRDefault="00AD3C0D" w:rsidP="00EE36F0">
      <w:pPr>
        <w:shd w:val="clear" w:color="auto" w:fill="FFFFFF"/>
        <w:jc w:val="center"/>
        <w:rPr>
          <w:rFonts w:ascii="Helvetica" w:hAnsi="Helvetica"/>
          <w:color w:val="0A0A0A"/>
        </w:rPr>
      </w:pPr>
    </w:p>
    <w:p w14:paraId="21D33F78" w14:textId="77777777" w:rsidR="00AD3C0D" w:rsidRDefault="00AD3C0D" w:rsidP="00EE36F0">
      <w:pPr>
        <w:shd w:val="clear" w:color="auto" w:fill="FFFFFF"/>
        <w:jc w:val="center"/>
        <w:rPr>
          <w:rFonts w:ascii="Helvetica" w:hAnsi="Helvetica"/>
          <w:color w:val="0A0A0A"/>
        </w:rPr>
      </w:pPr>
    </w:p>
    <w:p w14:paraId="08F6CCD5" w14:textId="486FB331" w:rsidR="009A2DB4" w:rsidRPr="009A2DB4" w:rsidRDefault="009A2DB4"/>
    <w:sectPr w:rsidR="009A2DB4" w:rsidRPr="009A2DB4" w:rsidSect="00F97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92B5E"/>
    <w:multiLevelType w:val="multilevel"/>
    <w:tmpl w:val="E77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3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55"/>
    <w:rsid w:val="000021FF"/>
    <w:rsid w:val="00086BC5"/>
    <w:rsid w:val="000A6951"/>
    <w:rsid w:val="000C561F"/>
    <w:rsid w:val="00164565"/>
    <w:rsid w:val="001D1676"/>
    <w:rsid w:val="002647C1"/>
    <w:rsid w:val="00277120"/>
    <w:rsid w:val="002B0FF7"/>
    <w:rsid w:val="005E61DD"/>
    <w:rsid w:val="005E74A9"/>
    <w:rsid w:val="006B5900"/>
    <w:rsid w:val="006D1D6D"/>
    <w:rsid w:val="006F38B6"/>
    <w:rsid w:val="007B6E13"/>
    <w:rsid w:val="00834E99"/>
    <w:rsid w:val="0083694D"/>
    <w:rsid w:val="0085587C"/>
    <w:rsid w:val="008753D2"/>
    <w:rsid w:val="00924D63"/>
    <w:rsid w:val="009A2DB4"/>
    <w:rsid w:val="009E4AEA"/>
    <w:rsid w:val="00A734B9"/>
    <w:rsid w:val="00AA3518"/>
    <w:rsid w:val="00AD3C0D"/>
    <w:rsid w:val="00B0374A"/>
    <w:rsid w:val="00B97899"/>
    <w:rsid w:val="00C02830"/>
    <w:rsid w:val="00D80783"/>
    <w:rsid w:val="00DA2EDB"/>
    <w:rsid w:val="00DE6709"/>
    <w:rsid w:val="00DF0055"/>
    <w:rsid w:val="00DF4226"/>
    <w:rsid w:val="00E215BD"/>
    <w:rsid w:val="00E37716"/>
    <w:rsid w:val="00E71CB9"/>
    <w:rsid w:val="00EE36F0"/>
    <w:rsid w:val="00F220C1"/>
    <w:rsid w:val="00F57137"/>
    <w:rsid w:val="00F67ED7"/>
    <w:rsid w:val="00F97E44"/>
    <w:rsid w:val="00FC73B6"/>
    <w:rsid w:val="00FD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95A2"/>
  <w15:chartTrackingRefBased/>
  <w15:docId w15:val="{FE5E497C-53E1-0142-9261-52EECCD9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67ED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4">
    <w:name w:val="mb-4"/>
    <w:basedOn w:val="Normal"/>
    <w:rsid w:val="00DF0055"/>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67ED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3694D"/>
    <w:rPr>
      <w:color w:val="0563C1" w:themeColor="hyperlink"/>
      <w:u w:val="single"/>
    </w:rPr>
  </w:style>
  <w:style w:type="character" w:styleId="UnresolvedMention">
    <w:name w:val="Unresolved Mention"/>
    <w:basedOn w:val="DefaultParagraphFont"/>
    <w:uiPriority w:val="99"/>
    <w:semiHidden/>
    <w:unhideWhenUsed/>
    <w:rsid w:val="0083694D"/>
    <w:rPr>
      <w:color w:val="605E5C"/>
      <w:shd w:val="clear" w:color="auto" w:fill="E1DFDD"/>
    </w:rPr>
  </w:style>
  <w:style w:type="character" w:styleId="Strong">
    <w:name w:val="Strong"/>
    <w:basedOn w:val="DefaultParagraphFont"/>
    <w:uiPriority w:val="22"/>
    <w:qFormat/>
    <w:rsid w:val="00EE36F0"/>
    <w:rPr>
      <w:b/>
      <w:bCs/>
    </w:rPr>
  </w:style>
  <w:style w:type="paragraph" w:styleId="NormalWeb">
    <w:name w:val="Normal (Web)"/>
    <w:basedOn w:val="Normal"/>
    <w:uiPriority w:val="99"/>
    <w:unhideWhenUsed/>
    <w:rsid w:val="00EE36F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E36F0"/>
    <w:rPr>
      <w:i/>
      <w:iCs/>
    </w:rPr>
  </w:style>
  <w:style w:type="character" w:styleId="FollowedHyperlink">
    <w:name w:val="FollowedHyperlink"/>
    <w:basedOn w:val="DefaultParagraphFont"/>
    <w:uiPriority w:val="99"/>
    <w:semiHidden/>
    <w:unhideWhenUsed/>
    <w:rsid w:val="00EE36F0"/>
    <w:rPr>
      <w:color w:val="954F72" w:themeColor="followedHyperlink"/>
      <w:u w:val="single"/>
    </w:rPr>
  </w:style>
  <w:style w:type="character" w:customStyle="1" w:styleId="notion-enable-hover">
    <w:name w:val="notion-enable-hover"/>
    <w:basedOn w:val="DefaultParagraphFont"/>
    <w:rsid w:val="00AD3C0D"/>
  </w:style>
  <w:style w:type="character" w:customStyle="1" w:styleId="link-annotation-unknown-block-id--778826780">
    <w:name w:val="link-annotation-unknown-block-id--778826780"/>
    <w:basedOn w:val="DefaultParagraphFont"/>
    <w:rsid w:val="00AD3C0D"/>
  </w:style>
  <w:style w:type="character" w:styleId="CommentReference">
    <w:name w:val="annotation reference"/>
    <w:basedOn w:val="DefaultParagraphFont"/>
    <w:uiPriority w:val="99"/>
    <w:semiHidden/>
    <w:unhideWhenUsed/>
    <w:rsid w:val="00F57137"/>
    <w:rPr>
      <w:sz w:val="16"/>
      <w:szCs w:val="16"/>
    </w:rPr>
  </w:style>
  <w:style w:type="paragraph" w:styleId="CommentText">
    <w:name w:val="annotation text"/>
    <w:basedOn w:val="Normal"/>
    <w:link w:val="CommentTextChar"/>
    <w:uiPriority w:val="99"/>
    <w:semiHidden/>
    <w:unhideWhenUsed/>
    <w:rsid w:val="00F57137"/>
    <w:rPr>
      <w:sz w:val="20"/>
      <w:szCs w:val="20"/>
    </w:rPr>
  </w:style>
  <w:style w:type="character" w:customStyle="1" w:styleId="CommentTextChar">
    <w:name w:val="Comment Text Char"/>
    <w:basedOn w:val="DefaultParagraphFont"/>
    <w:link w:val="CommentText"/>
    <w:uiPriority w:val="99"/>
    <w:semiHidden/>
    <w:rsid w:val="00F57137"/>
    <w:rPr>
      <w:sz w:val="20"/>
      <w:szCs w:val="20"/>
    </w:rPr>
  </w:style>
  <w:style w:type="paragraph" w:styleId="CommentSubject">
    <w:name w:val="annotation subject"/>
    <w:basedOn w:val="CommentText"/>
    <w:next w:val="CommentText"/>
    <w:link w:val="CommentSubjectChar"/>
    <w:uiPriority w:val="99"/>
    <w:semiHidden/>
    <w:unhideWhenUsed/>
    <w:rsid w:val="00F57137"/>
    <w:rPr>
      <w:b/>
      <w:bCs/>
    </w:rPr>
  </w:style>
  <w:style w:type="character" w:customStyle="1" w:styleId="CommentSubjectChar">
    <w:name w:val="Comment Subject Char"/>
    <w:basedOn w:val="CommentTextChar"/>
    <w:link w:val="CommentSubject"/>
    <w:uiPriority w:val="99"/>
    <w:semiHidden/>
    <w:rsid w:val="00F57137"/>
    <w:rPr>
      <w:b/>
      <w:bCs/>
      <w:sz w:val="20"/>
      <w:szCs w:val="20"/>
    </w:rPr>
  </w:style>
  <w:style w:type="paragraph" w:styleId="BalloonText">
    <w:name w:val="Balloon Text"/>
    <w:basedOn w:val="Normal"/>
    <w:link w:val="BalloonTextChar"/>
    <w:uiPriority w:val="99"/>
    <w:semiHidden/>
    <w:unhideWhenUsed/>
    <w:rsid w:val="00F57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137"/>
    <w:rPr>
      <w:rFonts w:ascii="Segoe UI" w:hAnsi="Segoe UI" w:cs="Segoe UI"/>
      <w:sz w:val="18"/>
      <w:szCs w:val="18"/>
    </w:rPr>
  </w:style>
  <w:style w:type="paragraph" w:styleId="Revision">
    <w:name w:val="Revision"/>
    <w:hidden/>
    <w:uiPriority w:val="99"/>
    <w:semiHidden/>
    <w:rsid w:val="00B03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677">
      <w:bodyDiv w:val="1"/>
      <w:marLeft w:val="0"/>
      <w:marRight w:val="0"/>
      <w:marTop w:val="0"/>
      <w:marBottom w:val="0"/>
      <w:divBdr>
        <w:top w:val="none" w:sz="0" w:space="0" w:color="auto"/>
        <w:left w:val="none" w:sz="0" w:space="0" w:color="auto"/>
        <w:bottom w:val="none" w:sz="0" w:space="0" w:color="auto"/>
        <w:right w:val="none" w:sz="0" w:space="0" w:color="auto"/>
      </w:divBdr>
    </w:div>
    <w:div w:id="501285388">
      <w:bodyDiv w:val="1"/>
      <w:marLeft w:val="0"/>
      <w:marRight w:val="0"/>
      <w:marTop w:val="0"/>
      <w:marBottom w:val="0"/>
      <w:divBdr>
        <w:top w:val="none" w:sz="0" w:space="0" w:color="auto"/>
        <w:left w:val="none" w:sz="0" w:space="0" w:color="auto"/>
        <w:bottom w:val="none" w:sz="0" w:space="0" w:color="auto"/>
        <w:right w:val="none" w:sz="0" w:space="0" w:color="auto"/>
      </w:divBdr>
      <w:divsChild>
        <w:div w:id="871722530">
          <w:marLeft w:val="0"/>
          <w:marRight w:val="0"/>
          <w:marTop w:val="0"/>
          <w:marBottom w:val="0"/>
          <w:divBdr>
            <w:top w:val="none" w:sz="0" w:space="0" w:color="auto"/>
            <w:left w:val="none" w:sz="0" w:space="0" w:color="auto"/>
            <w:bottom w:val="none" w:sz="0" w:space="0" w:color="auto"/>
            <w:right w:val="none" w:sz="0" w:space="0" w:color="auto"/>
          </w:divBdr>
        </w:div>
        <w:div w:id="2132166665">
          <w:marLeft w:val="0"/>
          <w:marRight w:val="0"/>
          <w:marTop w:val="0"/>
          <w:marBottom w:val="0"/>
          <w:divBdr>
            <w:top w:val="none" w:sz="0" w:space="0" w:color="auto"/>
            <w:left w:val="none" w:sz="0" w:space="0" w:color="auto"/>
            <w:bottom w:val="none" w:sz="0" w:space="0" w:color="auto"/>
            <w:right w:val="none" w:sz="0" w:space="0" w:color="auto"/>
          </w:divBdr>
          <w:divsChild>
            <w:div w:id="800463331">
              <w:marLeft w:val="0"/>
              <w:marRight w:val="0"/>
              <w:marTop w:val="0"/>
              <w:marBottom w:val="0"/>
              <w:divBdr>
                <w:top w:val="none" w:sz="0" w:space="0" w:color="auto"/>
                <w:left w:val="none" w:sz="0" w:space="0" w:color="auto"/>
                <w:bottom w:val="none" w:sz="0" w:space="0" w:color="auto"/>
                <w:right w:val="none" w:sz="0" w:space="0" w:color="auto"/>
              </w:divBdr>
            </w:div>
            <w:div w:id="6775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2859">
      <w:bodyDiv w:val="1"/>
      <w:marLeft w:val="0"/>
      <w:marRight w:val="0"/>
      <w:marTop w:val="0"/>
      <w:marBottom w:val="0"/>
      <w:divBdr>
        <w:top w:val="none" w:sz="0" w:space="0" w:color="auto"/>
        <w:left w:val="none" w:sz="0" w:space="0" w:color="auto"/>
        <w:bottom w:val="none" w:sz="0" w:space="0" w:color="auto"/>
        <w:right w:val="none" w:sz="0" w:space="0" w:color="auto"/>
      </w:divBdr>
    </w:div>
    <w:div w:id="993069738">
      <w:bodyDiv w:val="1"/>
      <w:marLeft w:val="0"/>
      <w:marRight w:val="0"/>
      <w:marTop w:val="0"/>
      <w:marBottom w:val="0"/>
      <w:divBdr>
        <w:top w:val="none" w:sz="0" w:space="0" w:color="auto"/>
        <w:left w:val="none" w:sz="0" w:space="0" w:color="auto"/>
        <w:bottom w:val="none" w:sz="0" w:space="0" w:color="auto"/>
        <w:right w:val="none" w:sz="0" w:space="0" w:color="auto"/>
      </w:divBdr>
    </w:div>
    <w:div w:id="1875382277">
      <w:bodyDiv w:val="1"/>
      <w:marLeft w:val="0"/>
      <w:marRight w:val="0"/>
      <w:marTop w:val="0"/>
      <w:marBottom w:val="0"/>
      <w:divBdr>
        <w:top w:val="none" w:sz="0" w:space="0" w:color="auto"/>
        <w:left w:val="none" w:sz="0" w:space="0" w:color="auto"/>
        <w:bottom w:val="none" w:sz="0" w:space="0" w:color="auto"/>
        <w:right w:val="none" w:sz="0" w:space="0" w:color="auto"/>
      </w:divBdr>
    </w:div>
    <w:div w:id="1985692001">
      <w:bodyDiv w:val="1"/>
      <w:marLeft w:val="0"/>
      <w:marRight w:val="0"/>
      <w:marTop w:val="0"/>
      <w:marBottom w:val="0"/>
      <w:divBdr>
        <w:top w:val="none" w:sz="0" w:space="0" w:color="auto"/>
        <w:left w:val="none" w:sz="0" w:space="0" w:color="auto"/>
        <w:bottom w:val="none" w:sz="0" w:space="0" w:color="auto"/>
        <w:right w:val="none" w:sz="0" w:space="0" w:color="auto"/>
      </w:divBdr>
    </w:div>
    <w:div w:id="20882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guard.com/files/Tuition-COVID-19-Coverage-Ale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adguard.com/tui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dguard.com/files/Tuition-COVID-19-Coverage-Alert.pdf" TargetMode="External"/><Relationship Id="rId11" Type="http://schemas.openxmlformats.org/officeDocument/2006/relationships/hyperlink" Target="mailto:tuition@allianzassistance.com" TargetMode="External"/><Relationship Id="rId5" Type="http://schemas.openxmlformats.org/officeDocument/2006/relationships/hyperlink" Target="https://gradguard.com/" TargetMode="External"/><Relationship Id="rId10" Type="http://schemas.openxmlformats.org/officeDocument/2006/relationships/hyperlink" Target="https://www.acha.org/documents/ncha/NCHA-III_FALL_2021_REFERENCE_GROUP_EXECUTIVE_SUMMARY.pdf" TargetMode="External"/><Relationship Id="rId4" Type="http://schemas.openxmlformats.org/officeDocument/2006/relationships/webSettings" Target="webSettings.xml"/><Relationship Id="rId9" Type="http://schemas.openxmlformats.org/officeDocument/2006/relationships/hyperlink" Target="https://healthymindsnetwork.org/wp-content/uploads/2021/09/HMS_national_winter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Dever-2</dc:creator>
  <cp:keywords/>
  <dc:description/>
  <cp:lastModifiedBy>Natalie Tarangioli</cp:lastModifiedBy>
  <cp:revision>2</cp:revision>
  <dcterms:created xsi:type="dcterms:W3CDTF">2022-08-16T18:39:00Z</dcterms:created>
  <dcterms:modified xsi:type="dcterms:W3CDTF">2022-08-16T18:39:00Z</dcterms:modified>
</cp:coreProperties>
</file>